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64" w:rsidRPr="00374202" w:rsidRDefault="00374202">
      <w:pPr>
        <w:pStyle w:val="Heading1"/>
        <w:spacing w:before="84" w:line="240" w:lineRule="auto"/>
        <w:ind w:left="115" w:firstLine="0"/>
        <w:rPr>
          <w:lang w:val="nl-NL"/>
        </w:rPr>
      </w:pPr>
      <w:r w:rsidRPr="00374202">
        <w:rPr>
          <w:lang w:val="nl-NL"/>
        </w:rPr>
        <w:t xml:space="preserve">Beheerregeling bij het afnemen van tentamens in </w:t>
      </w:r>
      <w:r w:rsidR="00EC50C5" w:rsidRPr="00374202">
        <w:rPr>
          <w:lang w:val="nl-NL"/>
        </w:rPr>
        <w:t>niet-</w:t>
      </w:r>
      <w:r w:rsidRPr="00374202">
        <w:rPr>
          <w:lang w:val="nl-NL"/>
        </w:rPr>
        <w:t>gemeenschappelijke tentamenruimtes</w:t>
      </w:r>
      <w:r w:rsidR="00EC50C5" w:rsidRPr="00374202">
        <w:rPr>
          <w:lang w:val="nl-NL"/>
        </w:rPr>
        <w:t xml:space="preserve"> FGW en FRT</w:t>
      </w:r>
    </w:p>
    <w:p w:rsidR="00CF2364" w:rsidRPr="00374202" w:rsidRDefault="00CF2364">
      <w:pPr>
        <w:pStyle w:val="BodyText"/>
        <w:spacing w:before="5"/>
        <w:ind w:left="0"/>
        <w:rPr>
          <w:i/>
          <w:lang w:val="nl-NL"/>
        </w:rPr>
      </w:pPr>
    </w:p>
    <w:p w:rsidR="00CF2364" w:rsidRPr="00374202" w:rsidRDefault="00374202">
      <w:pPr>
        <w:ind w:left="116"/>
        <w:rPr>
          <w:b/>
          <w:i/>
          <w:sz w:val="24"/>
          <w:szCs w:val="24"/>
          <w:lang w:val="nl-NL"/>
        </w:rPr>
      </w:pPr>
      <w:r w:rsidRPr="00374202">
        <w:rPr>
          <w:b/>
          <w:i/>
          <w:sz w:val="24"/>
          <w:szCs w:val="24"/>
          <w:lang w:val="nl-NL"/>
        </w:rPr>
        <w:t>De</w:t>
      </w:r>
      <w:r w:rsidR="002C1782" w:rsidRPr="00374202">
        <w:rPr>
          <w:b/>
          <w:i/>
          <w:sz w:val="24"/>
          <w:szCs w:val="24"/>
          <w:lang w:val="nl-NL"/>
        </w:rPr>
        <w:t>ze</w:t>
      </w:r>
      <w:r w:rsidRPr="00374202">
        <w:rPr>
          <w:b/>
          <w:i/>
          <w:sz w:val="24"/>
          <w:szCs w:val="24"/>
          <w:lang w:val="nl-NL"/>
        </w:rPr>
        <w:t xml:space="preserve"> </w:t>
      </w:r>
      <w:r w:rsidRPr="00374202">
        <w:rPr>
          <w:b/>
          <w:i/>
          <w:sz w:val="24"/>
          <w:szCs w:val="24"/>
          <w:lang w:val="nl-NL"/>
        </w:rPr>
        <w:t xml:space="preserve">regels zijn van kracht met ingang van </w:t>
      </w:r>
      <w:r w:rsidR="00EC50C5" w:rsidRPr="00374202">
        <w:rPr>
          <w:b/>
          <w:i/>
          <w:sz w:val="24"/>
          <w:szCs w:val="24"/>
          <w:lang w:val="nl-NL"/>
        </w:rPr>
        <w:t>21 maart 2019</w:t>
      </w:r>
      <w:r w:rsidRPr="00374202">
        <w:rPr>
          <w:b/>
          <w:i/>
          <w:sz w:val="24"/>
          <w:szCs w:val="24"/>
          <w:lang w:val="nl-NL"/>
        </w:rPr>
        <w:t>.</w:t>
      </w:r>
    </w:p>
    <w:p w:rsidR="002C1782" w:rsidRPr="00374202" w:rsidRDefault="002C1782">
      <w:pPr>
        <w:ind w:left="116"/>
        <w:rPr>
          <w:b/>
          <w:i/>
          <w:sz w:val="24"/>
          <w:szCs w:val="24"/>
          <w:lang w:val="nl-NL"/>
        </w:rPr>
      </w:pPr>
    </w:p>
    <w:p w:rsidR="002C1782" w:rsidRPr="00374202" w:rsidRDefault="002C1782" w:rsidP="002C1782">
      <w:pPr>
        <w:pStyle w:val="Heading1"/>
        <w:numPr>
          <w:ilvl w:val="2"/>
          <w:numId w:val="1"/>
        </w:numPr>
        <w:tabs>
          <w:tab w:val="left" w:pos="823"/>
          <w:tab w:val="left" w:pos="824"/>
        </w:tabs>
        <w:spacing w:before="84"/>
        <w:ind w:left="824" w:hanging="708"/>
        <w:jc w:val="left"/>
      </w:pPr>
      <w:r w:rsidRPr="00374202">
        <w:t xml:space="preserve">Surveillance </w:t>
      </w:r>
      <w:proofErr w:type="spellStart"/>
      <w:r w:rsidRPr="00374202">
        <w:t>bij</w:t>
      </w:r>
      <w:proofErr w:type="spellEnd"/>
      <w:r w:rsidRPr="00374202">
        <w:rPr>
          <w:spacing w:val="-3"/>
        </w:rPr>
        <w:t xml:space="preserve"> </w:t>
      </w:r>
      <w:proofErr w:type="spellStart"/>
      <w:r w:rsidRPr="00374202">
        <w:t>tentamens</w:t>
      </w:r>
      <w:proofErr w:type="spellEnd"/>
    </w:p>
    <w:p w:rsidR="002C1782" w:rsidRPr="00374202" w:rsidRDefault="002C1782" w:rsidP="002C1782">
      <w:pPr>
        <w:pStyle w:val="ListParagraph"/>
        <w:numPr>
          <w:ilvl w:val="3"/>
          <w:numId w:val="1"/>
        </w:numPr>
        <w:rPr>
          <w:sz w:val="24"/>
          <w:szCs w:val="24"/>
          <w:lang w:val="nl-NL"/>
        </w:rPr>
      </w:pPr>
      <w:r w:rsidRPr="00374202">
        <w:rPr>
          <w:sz w:val="24"/>
          <w:szCs w:val="24"/>
          <w:lang w:val="nl-NL"/>
        </w:rPr>
        <w:t xml:space="preserve">De surveillant meldt zich minimaal 15 minuten voor aanvang van het tentamen op de gevraagde locatie. </w:t>
      </w:r>
    </w:p>
    <w:p w:rsidR="002C1782" w:rsidRPr="00374202" w:rsidRDefault="002C1782" w:rsidP="002C1782">
      <w:pPr>
        <w:pStyle w:val="ListParagraph"/>
        <w:numPr>
          <w:ilvl w:val="3"/>
          <w:numId w:val="1"/>
        </w:numPr>
        <w:rPr>
          <w:sz w:val="24"/>
          <w:szCs w:val="24"/>
          <w:lang w:val="nl-NL"/>
        </w:rPr>
      </w:pPr>
      <w:r w:rsidRPr="00374202">
        <w:rPr>
          <w:sz w:val="24"/>
          <w:szCs w:val="24"/>
          <w:lang w:val="nl-NL"/>
        </w:rPr>
        <w:t>De surveillance geschiedt onder verantwoordelijkheid en gezag van de examinator/docent. Dit houdt in dat de docent zich ook moet houden aan het reglement maar o.a. wel de bevoegdheid heeft om te beslissen of tentamenbescheiden wel of niet mag worden meegenomen.</w:t>
      </w:r>
    </w:p>
    <w:p w:rsidR="002C1782" w:rsidRPr="00374202" w:rsidRDefault="002C1782" w:rsidP="002C1782">
      <w:pPr>
        <w:pStyle w:val="ListParagraph"/>
        <w:numPr>
          <w:ilvl w:val="3"/>
          <w:numId w:val="1"/>
        </w:numPr>
        <w:tabs>
          <w:tab w:val="left" w:pos="1531"/>
          <w:tab w:val="left" w:pos="1532"/>
        </w:tabs>
        <w:ind w:right="737" w:hanging="711"/>
        <w:rPr>
          <w:sz w:val="24"/>
          <w:szCs w:val="24"/>
          <w:lang w:val="nl-NL"/>
        </w:rPr>
      </w:pPr>
      <w:r w:rsidRPr="00374202">
        <w:rPr>
          <w:sz w:val="24"/>
          <w:szCs w:val="24"/>
          <w:lang w:val="nl-NL"/>
        </w:rPr>
        <w:t>De surveillanten worden voorafgaand aan het tentamen door de examinator mondeling, dan wel schriftelijk, geïnformeerd over de hulpmiddelen die de studenten mogen gebruiken en overige bijzonderheden van het</w:t>
      </w:r>
      <w:r w:rsidRPr="00374202">
        <w:rPr>
          <w:spacing w:val="-13"/>
          <w:sz w:val="24"/>
          <w:szCs w:val="24"/>
          <w:lang w:val="nl-NL"/>
        </w:rPr>
        <w:t xml:space="preserve"> </w:t>
      </w:r>
      <w:r w:rsidRPr="00374202">
        <w:rPr>
          <w:sz w:val="24"/>
          <w:szCs w:val="24"/>
          <w:lang w:val="nl-NL"/>
        </w:rPr>
        <w:t>tentamen.</w:t>
      </w:r>
    </w:p>
    <w:p w:rsidR="002C1782" w:rsidRPr="00374202" w:rsidRDefault="002C1782" w:rsidP="002C1782">
      <w:pPr>
        <w:pStyle w:val="ListParagraph"/>
        <w:numPr>
          <w:ilvl w:val="3"/>
          <w:numId w:val="1"/>
        </w:numPr>
        <w:tabs>
          <w:tab w:val="left" w:pos="1531"/>
          <w:tab w:val="left" w:pos="1532"/>
        </w:tabs>
        <w:ind w:right="233"/>
        <w:rPr>
          <w:sz w:val="24"/>
          <w:szCs w:val="24"/>
          <w:lang w:val="nl-NL"/>
        </w:rPr>
      </w:pPr>
      <w:r w:rsidRPr="00374202">
        <w:rPr>
          <w:sz w:val="24"/>
          <w:szCs w:val="24"/>
          <w:lang w:val="nl-NL"/>
        </w:rPr>
        <w:t>De surveillanten dragen er zorg voor dat de tentamenopgaven zoveel mogelijk tegelijkertijd aan de studenten worden</w:t>
      </w:r>
      <w:r w:rsidRPr="00374202">
        <w:rPr>
          <w:spacing w:val="-1"/>
          <w:sz w:val="24"/>
          <w:szCs w:val="24"/>
          <w:lang w:val="nl-NL"/>
        </w:rPr>
        <w:t xml:space="preserve"> </w:t>
      </w:r>
      <w:r w:rsidRPr="00374202">
        <w:rPr>
          <w:sz w:val="24"/>
          <w:szCs w:val="24"/>
          <w:lang w:val="nl-NL"/>
        </w:rPr>
        <w:t>uitgereikt.</w:t>
      </w:r>
    </w:p>
    <w:p w:rsidR="002C1782" w:rsidRPr="00374202" w:rsidRDefault="002C1782" w:rsidP="002C1782">
      <w:pPr>
        <w:pStyle w:val="ListParagraph"/>
        <w:numPr>
          <w:ilvl w:val="3"/>
          <w:numId w:val="1"/>
        </w:numPr>
        <w:tabs>
          <w:tab w:val="left" w:pos="1527"/>
          <w:tab w:val="left" w:pos="1528"/>
        </w:tabs>
        <w:ind w:left="1527" w:right="100" w:hanging="706"/>
        <w:rPr>
          <w:sz w:val="24"/>
          <w:szCs w:val="24"/>
          <w:lang w:val="nl-NL"/>
        </w:rPr>
      </w:pPr>
      <w:r w:rsidRPr="00374202">
        <w:rPr>
          <w:sz w:val="24"/>
          <w:szCs w:val="24"/>
          <w:lang w:val="nl-NL"/>
        </w:rPr>
        <w:t>De student is verplicht de aanwijzingen van de examinator en de surveillant(en) op te</w:t>
      </w:r>
      <w:r w:rsidRPr="00374202">
        <w:rPr>
          <w:spacing w:val="-2"/>
          <w:sz w:val="24"/>
          <w:szCs w:val="24"/>
          <w:lang w:val="nl-NL"/>
        </w:rPr>
        <w:t xml:space="preserve"> </w:t>
      </w:r>
      <w:r w:rsidRPr="00374202">
        <w:rPr>
          <w:sz w:val="24"/>
          <w:szCs w:val="24"/>
          <w:lang w:val="nl-NL"/>
        </w:rPr>
        <w:t>volgen.</w:t>
      </w:r>
    </w:p>
    <w:p w:rsidR="002C1782" w:rsidRPr="00374202" w:rsidRDefault="002C1782" w:rsidP="002C1782">
      <w:pPr>
        <w:pStyle w:val="ListParagraph"/>
        <w:numPr>
          <w:ilvl w:val="3"/>
          <w:numId w:val="1"/>
        </w:numPr>
        <w:tabs>
          <w:tab w:val="left" w:pos="1527"/>
          <w:tab w:val="left" w:pos="1528"/>
        </w:tabs>
        <w:ind w:left="1527" w:right="277" w:hanging="706"/>
        <w:rPr>
          <w:sz w:val="24"/>
          <w:szCs w:val="24"/>
          <w:lang w:val="nl-NL"/>
        </w:rPr>
      </w:pPr>
      <w:r w:rsidRPr="00374202">
        <w:rPr>
          <w:sz w:val="24"/>
          <w:szCs w:val="24"/>
          <w:lang w:val="nl-NL"/>
        </w:rPr>
        <w:t>Het is de examinator en surveillanten ter voorkoming van fraude toegestaan controles uit te oefenen op zaken die de student tijdens zijn tentamen gebruikt of kan</w:t>
      </w:r>
      <w:r w:rsidRPr="00374202">
        <w:rPr>
          <w:spacing w:val="-1"/>
          <w:sz w:val="24"/>
          <w:szCs w:val="24"/>
          <w:lang w:val="nl-NL"/>
        </w:rPr>
        <w:t xml:space="preserve"> </w:t>
      </w:r>
      <w:r w:rsidRPr="00374202">
        <w:rPr>
          <w:sz w:val="24"/>
          <w:szCs w:val="24"/>
          <w:lang w:val="nl-NL"/>
        </w:rPr>
        <w:t>benutten</w:t>
      </w:r>
      <w:r w:rsidR="00C56544" w:rsidRPr="00374202">
        <w:rPr>
          <w:rStyle w:val="FootnoteReference"/>
          <w:sz w:val="24"/>
          <w:szCs w:val="24"/>
          <w:lang w:val="nl-NL"/>
        </w:rPr>
        <w:footnoteReference w:id="1"/>
      </w:r>
      <w:r w:rsidRPr="00374202">
        <w:rPr>
          <w:sz w:val="24"/>
          <w:szCs w:val="24"/>
          <w:lang w:val="nl-NL"/>
        </w:rPr>
        <w:t>.</w:t>
      </w:r>
    </w:p>
    <w:p w:rsidR="002C1782" w:rsidRPr="00374202" w:rsidRDefault="002C1782" w:rsidP="002C1782">
      <w:pPr>
        <w:pStyle w:val="ListParagraph"/>
        <w:numPr>
          <w:ilvl w:val="3"/>
          <w:numId w:val="1"/>
        </w:numPr>
        <w:tabs>
          <w:tab w:val="left" w:pos="1527"/>
          <w:tab w:val="left" w:pos="1528"/>
        </w:tabs>
        <w:ind w:left="1527" w:right="100" w:hanging="706"/>
        <w:rPr>
          <w:sz w:val="24"/>
          <w:szCs w:val="24"/>
          <w:lang w:val="nl-NL"/>
        </w:rPr>
      </w:pPr>
      <w:r w:rsidRPr="00374202">
        <w:rPr>
          <w:sz w:val="24"/>
          <w:szCs w:val="24"/>
          <w:lang w:val="nl-NL"/>
        </w:rPr>
        <w:t>Als tijdens het tentamen fraude wordt vermoed op basis van door de examinator of surveillant geconstateerde onregelmatigheden, meldt de examinator dit aan de desbetreffende student. Eventuele bij de vermoede fraude gebruikte materialen en middelen worden tegen bewijs van ontvangst ingenomen. De student mag het tentamen afronden. De examinator beslist dat het vermoeden van fraude in overeenstemming met het voor hem geldende examenreglement wordt gemeld bij de</w:t>
      </w:r>
      <w:r w:rsidRPr="00374202">
        <w:rPr>
          <w:spacing w:val="-1"/>
          <w:sz w:val="24"/>
          <w:szCs w:val="24"/>
          <w:lang w:val="nl-NL"/>
        </w:rPr>
        <w:t xml:space="preserve"> </w:t>
      </w:r>
      <w:r w:rsidRPr="00374202">
        <w:rPr>
          <w:sz w:val="24"/>
          <w:szCs w:val="24"/>
          <w:lang w:val="nl-NL"/>
        </w:rPr>
        <w:t>examencommissie.</w:t>
      </w:r>
    </w:p>
    <w:p w:rsidR="002C1782" w:rsidRPr="00374202" w:rsidRDefault="002C1782" w:rsidP="002C1782">
      <w:pPr>
        <w:pStyle w:val="ListParagraph"/>
        <w:numPr>
          <w:ilvl w:val="3"/>
          <w:numId w:val="1"/>
        </w:numPr>
        <w:tabs>
          <w:tab w:val="left" w:pos="1587"/>
          <w:tab w:val="left" w:pos="1588"/>
        </w:tabs>
        <w:ind w:left="1527" w:right="802" w:hanging="703"/>
        <w:rPr>
          <w:sz w:val="24"/>
          <w:szCs w:val="24"/>
          <w:lang w:val="nl-NL"/>
        </w:rPr>
      </w:pPr>
      <w:r w:rsidRPr="00374202">
        <w:rPr>
          <w:sz w:val="24"/>
          <w:szCs w:val="24"/>
          <w:lang w:val="nl-NL"/>
        </w:rPr>
        <w:t>De surveillant stelt de examinator terstond op de hoogte van vragen van studenten en van onregelmatigheden tijdens het</w:t>
      </w:r>
      <w:r w:rsidRPr="00374202">
        <w:rPr>
          <w:spacing w:val="-3"/>
          <w:sz w:val="24"/>
          <w:szCs w:val="24"/>
          <w:lang w:val="nl-NL"/>
        </w:rPr>
        <w:t xml:space="preserve"> </w:t>
      </w:r>
      <w:r w:rsidRPr="00374202">
        <w:rPr>
          <w:sz w:val="24"/>
          <w:szCs w:val="24"/>
          <w:lang w:val="nl-NL"/>
        </w:rPr>
        <w:t>tentamen.</w:t>
      </w:r>
    </w:p>
    <w:p w:rsidR="00CF2364" w:rsidRPr="00374202" w:rsidRDefault="00CF2364">
      <w:pPr>
        <w:pStyle w:val="BodyText"/>
        <w:spacing w:before="3"/>
        <w:ind w:left="0"/>
        <w:rPr>
          <w:lang w:val="nl-NL"/>
        </w:rPr>
      </w:pPr>
    </w:p>
    <w:p w:rsidR="00CF2364" w:rsidRPr="00374202" w:rsidRDefault="00374202">
      <w:pPr>
        <w:pStyle w:val="Heading1"/>
        <w:numPr>
          <w:ilvl w:val="0"/>
          <w:numId w:val="1"/>
        </w:numPr>
        <w:tabs>
          <w:tab w:val="left" w:pos="823"/>
          <w:tab w:val="left" w:pos="824"/>
        </w:tabs>
      </w:pPr>
      <w:proofErr w:type="spellStart"/>
      <w:r w:rsidRPr="00374202">
        <w:t>Identificatie</w:t>
      </w:r>
      <w:proofErr w:type="spellEnd"/>
      <w:r w:rsidRPr="00374202">
        <w:rPr>
          <w:spacing w:val="-2"/>
        </w:rPr>
        <w:t xml:space="preserve"> </w:t>
      </w:r>
      <w:r w:rsidRPr="00374202">
        <w:t>student</w:t>
      </w:r>
    </w:p>
    <w:p w:rsidR="00CF2364" w:rsidRPr="00374202" w:rsidRDefault="00374202">
      <w:pPr>
        <w:pStyle w:val="ListParagraph"/>
        <w:numPr>
          <w:ilvl w:val="1"/>
          <w:numId w:val="1"/>
        </w:numPr>
        <w:tabs>
          <w:tab w:val="left" w:pos="1531"/>
          <w:tab w:val="left" w:pos="1532"/>
        </w:tabs>
        <w:ind w:right="1433"/>
        <w:jc w:val="left"/>
        <w:rPr>
          <w:sz w:val="24"/>
          <w:szCs w:val="24"/>
          <w:lang w:val="nl-NL"/>
        </w:rPr>
      </w:pPr>
      <w:r w:rsidRPr="00374202">
        <w:rPr>
          <w:sz w:val="24"/>
          <w:szCs w:val="24"/>
          <w:lang w:val="nl-NL"/>
        </w:rPr>
        <w:t>De student is gehouden bij deelname aan een tentamen een geldig identiteitsbewijs te tonen aan de</w:t>
      </w:r>
      <w:r w:rsidRPr="00374202">
        <w:rPr>
          <w:spacing w:val="-2"/>
          <w:sz w:val="24"/>
          <w:szCs w:val="24"/>
          <w:lang w:val="nl-NL"/>
        </w:rPr>
        <w:t xml:space="preserve"> </w:t>
      </w:r>
      <w:r w:rsidRPr="00374202">
        <w:rPr>
          <w:sz w:val="24"/>
          <w:szCs w:val="24"/>
          <w:lang w:val="nl-NL"/>
        </w:rPr>
        <w:t>surveillant</w:t>
      </w:r>
      <w:r w:rsidR="00C56544" w:rsidRPr="00374202">
        <w:rPr>
          <w:rStyle w:val="FootnoteReference"/>
          <w:sz w:val="24"/>
          <w:szCs w:val="24"/>
          <w:lang w:val="nl-NL"/>
        </w:rPr>
        <w:footnoteReference w:id="2"/>
      </w:r>
      <w:r w:rsidRPr="00374202">
        <w:rPr>
          <w:sz w:val="24"/>
          <w:szCs w:val="24"/>
          <w:lang w:val="nl-NL"/>
        </w:rPr>
        <w:t>.</w:t>
      </w:r>
    </w:p>
    <w:p w:rsidR="00CF2364" w:rsidRPr="00374202" w:rsidRDefault="00374202">
      <w:pPr>
        <w:pStyle w:val="ListParagraph"/>
        <w:numPr>
          <w:ilvl w:val="1"/>
          <w:numId w:val="1"/>
        </w:numPr>
        <w:tabs>
          <w:tab w:val="left" w:pos="1531"/>
          <w:tab w:val="left" w:pos="1532"/>
        </w:tabs>
        <w:ind w:right="369"/>
        <w:jc w:val="left"/>
        <w:rPr>
          <w:sz w:val="24"/>
          <w:szCs w:val="24"/>
          <w:lang w:val="nl-NL"/>
        </w:rPr>
      </w:pPr>
      <w:r w:rsidRPr="00374202">
        <w:rPr>
          <w:sz w:val="24"/>
          <w:szCs w:val="24"/>
          <w:lang w:val="nl-NL"/>
        </w:rPr>
        <w:t>De surveillant controleert</w:t>
      </w:r>
      <w:r w:rsidRPr="00374202">
        <w:rPr>
          <w:sz w:val="24"/>
          <w:szCs w:val="24"/>
          <w:lang w:val="nl-NL"/>
        </w:rPr>
        <w:t xml:space="preserve"> het identiteitsbewijs en stelt vast of de student is aangemeld voor het tentamen aan de hand van een deelnemersoverzicht voor het</w:t>
      </w:r>
      <w:r w:rsidRPr="00374202">
        <w:rPr>
          <w:spacing w:val="-1"/>
          <w:sz w:val="24"/>
          <w:szCs w:val="24"/>
          <w:lang w:val="nl-NL"/>
        </w:rPr>
        <w:t xml:space="preserve"> </w:t>
      </w:r>
      <w:r w:rsidRPr="00374202">
        <w:rPr>
          <w:sz w:val="24"/>
          <w:szCs w:val="24"/>
          <w:lang w:val="nl-NL"/>
        </w:rPr>
        <w:t>tentamen.</w:t>
      </w:r>
    </w:p>
    <w:p w:rsidR="00CF2364" w:rsidRPr="00374202" w:rsidRDefault="00CF2364">
      <w:pPr>
        <w:pStyle w:val="BodyText"/>
        <w:spacing w:before="2"/>
        <w:ind w:left="0"/>
        <w:rPr>
          <w:lang w:val="nl-NL"/>
        </w:rPr>
      </w:pPr>
    </w:p>
    <w:p w:rsidR="00CF2364" w:rsidRPr="00374202" w:rsidRDefault="00374202">
      <w:pPr>
        <w:pStyle w:val="Heading1"/>
        <w:numPr>
          <w:ilvl w:val="1"/>
          <w:numId w:val="1"/>
        </w:numPr>
        <w:tabs>
          <w:tab w:val="left" w:pos="823"/>
          <w:tab w:val="left" w:pos="824"/>
        </w:tabs>
        <w:ind w:left="824"/>
        <w:jc w:val="left"/>
      </w:pPr>
      <w:proofErr w:type="spellStart"/>
      <w:r w:rsidRPr="00374202">
        <w:t>Hulpmiddelen</w:t>
      </w:r>
      <w:proofErr w:type="spellEnd"/>
    </w:p>
    <w:p w:rsidR="00CF2364" w:rsidRPr="00374202" w:rsidRDefault="00374202">
      <w:pPr>
        <w:pStyle w:val="ListParagraph"/>
        <w:numPr>
          <w:ilvl w:val="2"/>
          <w:numId w:val="1"/>
        </w:numPr>
        <w:tabs>
          <w:tab w:val="left" w:pos="1531"/>
          <w:tab w:val="left" w:pos="1532"/>
        </w:tabs>
        <w:ind w:right="116"/>
        <w:jc w:val="left"/>
        <w:rPr>
          <w:sz w:val="24"/>
          <w:szCs w:val="24"/>
          <w:lang w:val="nl-NL"/>
        </w:rPr>
      </w:pPr>
      <w:r w:rsidRPr="00374202">
        <w:rPr>
          <w:sz w:val="24"/>
          <w:szCs w:val="24"/>
          <w:lang w:val="nl-NL"/>
        </w:rPr>
        <w:t>Alle eigendommen, maar in het bijzonder boeken, dictaten, draagbare telefoons of andere zaken die als</w:t>
      </w:r>
      <w:r w:rsidRPr="00374202">
        <w:rPr>
          <w:sz w:val="24"/>
          <w:szCs w:val="24"/>
          <w:lang w:val="nl-NL"/>
        </w:rPr>
        <w:t xml:space="preserve"> hulpmiddel kunnen dienen, worden buiten de tentamenruimte achtergelaten, dan wel neergelegd op door de surveillanten aan te wijzen plaatsen in de tentamenruimte. </w:t>
      </w:r>
      <w:r w:rsidR="00CB2449" w:rsidRPr="00374202">
        <w:rPr>
          <w:sz w:val="24"/>
          <w:szCs w:val="24"/>
          <w:lang w:val="nl-NL"/>
        </w:rPr>
        <w:t>Digitale hulpmiddelen, zoals s</w:t>
      </w:r>
      <w:r w:rsidR="00CB2449" w:rsidRPr="00374202">
        <w:rPr>
          <w:sz w:val="24"/>
          <w:szCs w:val="24"/>
          <w:lang w:val="nl-NL"/>
        </w:rPr>
        <w:t>martphones, horloges met internetfunctie e.d.</w:t>
      </w:r>
      <w:r w:rsidR="00CB2449" w:rsidRPr="00374202">
        <w:rPr>
          <w:sz w:val="24"/>
          <w:szCs w:val="24"/>
          <w:lang w:val="nl-NL"/>
        </w:rPr>
        <w:t>,</w:t>
      </w:r>
      <w:r w:rsidR="00CB2449" w:rsidRPr="00374202">
        <w:rPr>
          <w:sz w:val="24"/>
          <w:szCs w:val="24"/>
          <w:lang w:val="nl-NL"/>
        </w:rPr>
        <w:t xml:space="preserve"> moeten </w:t>
      </w:r>
      <w:r w:rsidR="002C1782" w:rsidRPr="00374202">
        <w:rPr>
          <w:sz w:val="24"/>
          <w:szCs w:val="24"/>
          <w:lang w:val="nl-NL"/>
        </w:rPr>
        <w:t xml:space="preserve">bovendien </w:t>
      </w:r>
      <w:r w:rsidR="00CB2449" w:rsidRPr="00374202">
        <w:rPr>
          <w:sz w:val="24"/>
          <w:szCs w:val="24"/>
          <w:lang w:val="nl-NL"/>
        </w:rPr>
        <w:t>uitgeschakeld zijn</w:t>
      </w:r>
      <w:r w:rsidR="00CB2449" w:rsidRPr="00374202">
        <w:rPr>
          <w:sz w:val="24"/>
          <w:szCs w:val="24"/>
          <w:lang w:val="nl-NL"/>
        </w:rPr>
        <w:t>.</w:t>
      </w:r>
      <w:r w:rsidR="00CB2449" w:rsidRPr="00374202">
        <w:rPr>
          <w:sz w:val="24"/>
          <w:szCs w:val="24"/>
          <w:lang w:val="nl-NL"/>
        </w:rPr>
        <w:t xml:space="preserve"> </w:t>
      </w:r>
      <w:r w:rsidRPr="00374202">
        <w:rPr>
          <w:sz w:val="24"/>
          <w:szCs w:val="24"/>
          <w:lang w:val="nl-NL"/>
        </w:rPr>
        <w:t>Een looppad tussen de tafels dient vrij te</w:t>
      </w:r>
      <w:r w:rsidRPr="00374202">
        <w:rPr>
          <w:spacing w:val="-2"/>
          <w:sz w:val="24"/>
          <w:szCs w:val="24"/>
          <w:lang w:val="nl-NL"/>
        </w:rPr>
        <w:t xml:space="preserve"> </w:t>
      </w:r>
      <w:r w:rsidRPr="00374202">
        <w:rPr>
          <w:sz w:val="24"/>
          <w:szCs w:val="24"/>
          <w:lang w:val="nl-NL"/>
        </w:rPr>
        <w:t>blijven.</w:t>
      </w:r>
    </w:p>
    <w:p w:rsidR="002C1782" w:rsidRPr="00374202" w:rsidRDefault="00374202" w:rsidP="002C1782">
      <w:pPr>
        <w:pStyle w:val="ListParagraph"/>
        <w:numPr>
          <w:ilvl w:val="2"/>
          <w:numId w:val="1"/>
        </w:numPr>
        <w:tabs>
          <w:tab w:val="left" w:pos="1531"/>
          <w:tab w:val="left" w:pos="1532"/>
        </w:tabs>
        <w:ind w:right="361"/>
        <w:jc w:val="left"/>
        <w:rPr>
          <w:sz w:val="24"/>
          <w:szCs w:val="24"/>
          <w:lang w:val="nl-NL"/>
        </w:rPr>
      </w:pPr>
      <w:r w:rsidRPr="00374202">
        <w:rPr>
          <w:sz w:val="24"/>
          <w:szCs w:val="24"/>
          <w:lang w:val="nl-NL"/>
        </w:rPr>
        <w:t>In afwijking van lid 1 is het gebruik van een hulpmiddel tijdens het tentamen door de student toegestaan, als dat hulpmiddel vooraf als zodanig is aangemerkt door de examinator of examencommissie aan de studenten.</w:t>
      </w:r>
      <w:r w:rsidRPr="00374202">
        <w:rPr>
          <w:spacing w:val="-12"/>
          <w:sz w:val="24"/>
          <w:szCs w:val="24"/>
          <w:lang w:val="nl-NL"/>
        </w:rPr>
        <w:t xml:space="preserve"> </w:t>
      </w:r>
      <w:r w:rsidRPr="00374202">
        <w:rPr>
          <w:sz w:val="24"/>
          <w:szCs w:val="24"/>
          <w:lang w:val="nl-NL"/>
        </w:rPr>
        <w:t>De</w:t>
      </w:r>
      <w:r w:rsidR="002C1782" w:rsidRPr="00374202">
        <w:rPr>
          <w:sz w:val="24"/>
          <w:szCs w:val="24"/>
          <w:lang w:val="nl-NL"/>
        </w:rPr>
        <w:t xml:space="preserve"> </w:t>
      </w:r>
      <w:r w:rsidR="002C1782" w:rsidRPr="00374202">
        <w:rPr>
          <w:sz w:val="24"/>
          <w:szCs w:val="24"/>
          <w:lang w:val="nl-NL"/>
        </w:rPr>
        <w:t>toegestane hulpmiddelen worden tevens op het voorblad van het tentamen vermeld.</w:t>
      </w:r>
    </w:p>
    <w:p w:rsidR="002C1782" w:rsidRPr="00374202" w:rsidRDefault="002C1782" w:rsidP="002C1782">
      <w:pPr>
        <w:pStyle w:val="ListParagraph"/>
        <w:numPr>
          <w:ilvl w:val="2"/>
          <w:numId w:val="1"/>
        </w:numPr>
        <w:tabs>
          <w:tab w:val="left" w:pos="1531"/>
          <w:tab w:val="left" w:pos="1532"/>
        </w:tabs>
        <w:ind w:right="556"/>
        <w:jc w:val="left"/>
        <w:rPr>
          <w:sz w:val="24"/>
          <w:szCs w:val="24"/>
          <w:lang w:val="nl-NL"/>
        </w:rPr>
      </w:pPr>
      <w:r w:rsidRPr="00374202">
        <w:rPr>
          <w:sz w:val="24"/>
          <w:szCs w:val="24"/>
          <w:lang w:val="nl-NL"/>
        </w:rPr>
        <w:lastRenderedPageBreak/>
        <w:t>De student die een hulpmiddel, dat niet is aangewezen als een toegestaan hulpmiddel, binnen zijn bereik blijkt te hebben tijdens het afleggen van het tentamen of bij bezoek aan het toilet tijdens het tentamen, pleegt</w:t>
      </w:r>
      <w:r w:rsidRPr="00374202">
        <w:rPr>
          <w:spacing w:val="-13"/>
          <w:sz w:val="24"/>
          <w:szCs w:val="24"/>
          <w:lang w:val="nl-NL"/>
        </w:rPr>
        <w:t xml:space="preserve"> </w:t>
      </w:r>
      <w:r w:rsidRPr="00374202">
        <w:rPr>
          <w:sz w:val="24"/>
          <w:szCs w:val="24"/>
          <w:lang w:val="nl-NL"/>
        </w:rPr>
        <w:t>fraude.</w:t>
      </w:r>
    </w:p>
    <w:p w:rsidR="002C1782" w:rsidRPr="00374202" w:rsidRDefault="002C1782" w:rsidP="002C1782">
      <w:pPr>
        <w:pStyle w:val="BodyText"/>
        <w:spacing w:before="4"/>
        <w:ind w:left="0"/>
        <w:rPr>
          <w:lang w:val="nl-NL"/>
        </w:rPr>
      </w:pPr>
    </w:p>
    <w:p w:rsidR="002C1782" w:rsidRPr="00374202" w:rsidRDefault="002C1782" w:rsidP="002C1782">
      <w:pPr>
        <w:pStyle w:val="Heading1"/>
        <w:numPr>
          <w:ilvl w:val="2"/>
          <w:numId w:val="1"/>
        </w:numPr>
        <w:tabs>
          <w:tab w:val="left" w:pos="823"/>
          <w:tab w:val="left" w:pos="824"/>
        </w:tabs>
        <w:ind w:left="824" w:hanging="708"/>
        <w:jc w:val="left"/>
      </w:pPr>
      <w:proofErr w:type="spellStart"/>
      <w:r w:rsidRPr="00374202">
        <w:t>Algemene</w:t>
      </w:r>
      <w:proofErr w:type="spellEnd"/>
      <w:r w:rsidRPr="00374202">
        <w:rPr>
          <w:spacing w:val="-2"/>
        </w:rPr>
        <w:t xml:space="preserve"> </w:t>
      </w:r>
      <w:proofErr w:type="spellStart"/>
      <w:r w:rsidRPr="00374202">
        <w:t>bepalingen</w:t>
      </w:r>
      <w:proofErr w:type="spellEnd"/>
    </w:p>
    <w:p w:rsidR="002C1782" w:rsidRPr="00374202" w:rsidRDefault="002C1782" w:rsidP="002C1782">
      <w:pPr>
        <w:pStyle w:val="ListParagraph"/>
        <w:numPr>
          <w:ilvl w:val="3"/>
          <w:numId w:val="1"/>
        </w:numPr>
        <w:tabs>
          <w:tab w:val="left" w:pos="1531"/>
          <w:tab w:val="left" w:pos="1532"/>
        </w:tabs>
        <w:ind w:right="1203"/>
        <w:rPr>
          <w:sz w:val="24"/>
          <w:szCs w:val="24"/>
          <w:lang w:val="nl-NL"/>
        </w:rPr>
      </w:pPr>
      <w:r w:rsidRPr="00374202">
        <w:rPr>
          <w:sz w:val="24"/>
          <w:szCs w:val="24"/>
          <w:lang w:val="nl-NL"/>
        </w:rPr>
        <w:t>De tentamenzaal is een kwartier voor aanvangstijd van het tentamen toegankelijk voor</w:t>
      </w:r>
      <w:r w:rsidRPr="00374202">
        <w:rPr>
          <w:spacing w:val="-2"/>
          <w:sz w:val="24"/>
          <w:szCs w:val="24"/>
          <w:lang w:val="nl-NL"/>
        </w:rPr>
        <w:t xml:space="preserve"> </w:t>
      </w:r>
      <w:r w:rsidRPr="00374202">
        <w:rPr>
          <w:sz w:val="24"/>
          <w:szCs w:val="24"/>
          <w:lang w:val="nl-NL"/>
        </w:rPr>
        <w:t>studenten.</w:t>
      </w:r>
    </w:p>
    <w:p w:rsidR="002C1782" w:rsidRPr="00374202" w:rsidRDefault="002C1782" w:rsidP="002C1782">
      <w:pPr>
        <w:pStyle w:val="ListParagraph"/>
        <w:numPr>
          <w:ilvl w:val="3"/>
          <w:numId w:val="1"/>
        </w:numPr>
        <w:tabs>
          <w:tab w:val="left" w:pos="1531"/>
          <w:tab w:val="left" w:pos="1532"/>
        </w:tabs>
        <w:rPr>
          <w:sz w:val="24"/>
          <w:szCs w:val="24"/>
          <w:lang w:val="nl-NL"/>
        </w:rPr>
      </w:pPr>
      <w:r w:rsidRPr="00374202">
        <w:rPr>
          <w:sz w:val="24"/>
          <w:szCs w:val="24"/>
          <w:lang w:val="nl-NL"/>
        </w:rPr>
        <w:t>Na aanvangstijd van het tentamen is de tentamenzaal niet meer</w:t>
      </w:r>
      <w:r w:rsidRPr="00374202">
        <w:rPr>
          <w:spacing w:val="-11"/>
          <w:sz w:val="24"/>
          <w:szCs w:val="24"/>
          <w:lang w:val="nl-NL"/>
        </w:rPr>
        <w:t xml:space="preserve"> </w:t>
      </w:r>
      <w:r w:rsidRPr="00374202">
        <w:rPr>
          <w:sz w:val="24"/>
          <w:szCs w:val="24"/>
          <w:lang w:val="nl-NL"/>
        </w:rPr>
        <w:t>toegankelijk.</w:t>
      </w:r>
    </w:p>
    <w:p w:rsidR="002C1782" w:rsidRPr="00374202" w:rsidRDefault="002C1782" w:rsidP="002C1782">
      <w:pPr>
        <w:pStyle w:val="ListParagraph"/>
        <w:numPr>
          <w:ilvl w:val="3"/>
          <w:numId w:val="1"/>
        </w:numPr>
        <w:tabs>
          <w:tab w:val="left" w:pos="1527"/>
          <w:tab w:val="left" w:pos="1528"/>
        </w:tabs>
        <w:ind w:left="1527" w:right="244" w:hanging="703"/>
        <w:rPr>
          <w:sz w:val="24"/>
          <w:szCs w:val="24"/>
          <w:lang w:val="nl-NL"/>
        </w:rPr>
      </w:pPr>
      <w:r w:rsidRPr="00374202">
        <w:rPr>
          <w:sz w:val="24"/>
          <w:szCs w:val="24"/>
          <w:lang w:val="nl-NL"/>
        </w:rPr>
        <w:t>In afwijking van lid 2 mag de student die te laat is, tot 30 minuten na aanvangstijd stil naar de plaats gaan en starten met het tentamen. De eindtijd blijft onveranderd. Komt de student meer dan 30 minuten te laat, dan wordt de student niet meer toegelaten.</w:t>
      </w:r>
    </w:p>
    <w:p w:rsidR="002C1782" w:rsidRPr="00374202" w:rsidRDefault="002C1782" w:rsidP="002C1782">
      <w:pPr>
        <w:pStyle w:val="ListParagraph"/>
        <w:numPr>
          <w:ilvl w:val="3"/>
          <w:numId w:val="1"/>
        </w:numPr>
        <w:tabs>
          <w:tab w:val="left" w:pos="1531"/>
          <w:tab w:val="left" w:pos="1532"/>
        </w:tabs>
        <w:ind w:right="379"/>
        <w:rPr>
          <w:sz w:val="24"/>
          <w:szCs w:val="24"/>
          <w:lang w:val="nl-NL"/>
        </w:rPr>
      </w:pPr>
      <w:r w:rsidRPr="00374202">
        <w:rPr>
          <w:sz w:val="24"/>
          <w:szCs w:val="24"/>
          <w:lang w:val="nl-NL"/>
        </w:rPr>
        <w:t>Het is niet toegestaan de ruimte waar het tentamen wordt afgenomen, binnen een half uur na het officieel vastgestelde aanvangstijdstip te</w:t>
      </w:r>
      <w:r w:rsidRPr="00374202">
        <w:rPr>
          <w:spacing w:val="-8"/>
          <w:sz w:val="24"/>
          <w:szCs w:val="24"/>
          <w:lang w:val="nl-NL"/>
        </w:rPr>
        <w:t xml:space="preserve"> </w:t>
      </w:r>
      <w:r w:rsidRPr="00374202">
        <w:rPr>
          <w:sz w:val="24"/>
          <w:szCs w:val="24"/>
          <w:lang w:val="nl-NL"/>
        </w:rPr>
        <w:t>verlaten.</w:t>
      </w:r>
    </w:p>
    <w:p w:rsidR="002C1782" w:rsidRPr="00374202" w:rsidRDefault="002C1782" w:rsidP="002C1782">
      <w:pPr>
        <w:pStyle w:val="ListParagraph"/>
        <w:numPr>
          <w:ilvl w:val="3"/>
          <w:numId w:val="1"/>
        </w:numPr>
        <w:tabs>
          <w:tab w:val="left" w:pos="1531"/>
          <w:tab w:val="left" w:pos="1532"/>
        </w:tabs>
        <w:ind w:right="169"/>
        <w:rPr>
          <w:sz w:val="24"/>
          <w:szCs w:val="24"/>
          <w:lang w:val="nl-NL"/>
        </w:rPr>
      </w:pPr>
      <w:r w:rsidRPr="00374202">
        <w:rPr>
          <w:sz w:val="24"/>
          <w:szCs w:val="24"/>
          <w:lang w:val="nl-NL"/>
        </w:rPr>
        <w:t>De laatste 30 minuten van het tentamen mag de student de tentamenruimte niet verlaten.</w:t>
      </w:r>
    </w:p>
    <w:p w:rsidR="002C1782" w:rsidRPr="00374202" w:rsidRDefault="002C1782" w:rsidP="002C1782">
      <w:pPr>
        <w:pStyle w:val="ListParagraph"/>
        <w:numPr>
          <w:ilvl w:val="3"/>
          <w:numId w:val="1"/>
        </w:numPr>
        <w:tabs>
          <w:tab w:val="left" w:pos="1531"/>
          <w:tab w:val="left" w:pos="1532"/>
        </w:tabs>
        <w:ind w:right="413"/>
        <w:rPr>
          <w:sz w:val="24"/>
          <w:szCs w:val="24"/>
          <w:lang w:val="nl-NL"/>
        </w:rPr>
      </w:pPr>
      <w:r w:rsidRPr="00374202">
        <w:rPr>
          <w:sz w:val="24"/>
          <w:szCs w:val="24"/>
          <w:lang w:val="nl-NL"/>
        </w:rPr>
        <w:t>Doorwerken aan het tentamen door de student na afloop van de tentamentijd kan worden opgevat als een vorm van fraude</w:t>
      </w:r>
      <w:r w:rsidR="00C56544" w:rsidRPr="00374202">
        <w:rPr>
          <w:rStyle w:val="FootnoteReference"/>
          <w:sz w:val="24"/>
          <w:szCs w:val="24"/>
          <w:lang w:val="nl-NL"/>
        </w:rPr>
        <w:footnoteReference w:id="3"/>
      </w:r>
      <w:r w:rsidRPr="00374202">
        <w:rPr>
          <w:sz w:val="24"/>
          <w:szCs w:val="24"/>
          <w:lang w:val="nl-NL"/>
        </w:rPr>
        <w:t>.</w:t>
      </w:r>
    </w:p>
    <w:p w:rsidR="002C1782" w:rsidRPr="00374202" w:rsidRDefault="002C1782" w:rsidP="002C1782">
      <w:pPr>
        <w:pStyle w:val="BodyText"/>
        <w:spacing w:before="3"/>
        <w:ind w:left="0"/>
        <w:rPr>
          <w:lang w:val="nl-NL"/>
        </w:rPr>
      </w:pPr>
    </w:p>
    <w:p w:rsidR="002C1782" w:rsidRPr="00374202" w:rsidRDefault="002C1782" w:rsidP="002C1782">
      <w:pPr>
        <w:pStyle w:val="Heading1"/>
        <w:numPr>
          <w:ilvl w:val="2"/>
          <w:numId w:val="1"/>
        </w:numPr>
        <w:tabs>
          <w:tab w:val="left" w:pos="823"/>
          <w:tab w:val="left" w:pos="824"/>
        </w:tabs>
        <w:ind w:left="824" w:hanging="708"/>
        <w:jc w:val="left"/>
      </w:pPr>
      <w:proofErr w:type="spellStart"/>
      <w:r w:rsidRPr="00374202">
        <w:t>Toiletbezoek</w:t>
      </w:r>
      <w:proofErr w:type="spellEnd"/>
    </w:p>
    <w:p w:rsidR="002C1782" w:rsidRPr="00374202" w:rsidRDefault="002C1782" w:rsidP="002C1782">
      <w:pPr>
        <w:pStyle w:val="ListParagraph"/>
        <w:numPr>
          <w:ilvl w:val="3"/>
          <w:numId w:val="1"/>
        </w:numPr>
        <w:tabs>
          <w:tab w:val="left" w:pos="1531"/>
          <w:tab w:val="left" w:pos="1532"/>
        </w:tabs>
        <w:ind w:right="749" w:hanging="711"/>
        <w:rPr>
          <w:sz w:val="24"/>
          <w:szCs w:val="24"/>
          <w:lang w:val="nl-NL"/>
        </w:rPr>
      </w:pPr>
      <w:r w:rsidRPr="00374202">
        <w:rPr>
          <w:sz w:val="24"/>
          <w:szCs w:val="24"/>
          <w:lang w:val="nl-NL"/>
        </w:rPr>
        <w:t>Niet eerder dan anderhalf uur na het aanvangstijdstip van het tentamen is bezoek aan het toilet</w:t>
      </w:r>
      <w:r w:rsidRPr="00374202">
        <w:rPr>
          <w:spacing w:val="-1"/>
          <w:sz w:val="24"/>
          <w:szCs w:val="24"/>
          <w:lang w:val="nl-NL"/>
        </w:rPr>
        <w:t xml:space="preserve"> </w:t>
      </w:r>
      <w:r w:rsidRPr="00374202">
        <w:rPr>
          <w:sz w:val="24"/>
          <w:szCs w:val="24"/>
          <w:lang w:val="nl-NL"/>
        </w:rPr>
        <w:t>toegestaan.</w:t>
      </w:r>
    </w:p>
    <w:p w:rsidR="002C1782" w:rsidRPr="00374202" w:rsidRDefault="002C1782" w:rsidP="002C1782">
      <w:pPr>
        <w:pStyle w:val="ListParagraph"/>
        <w:numPr>
          <w:ilvl w:val="3"/>
          <w:numId w:val="1"/>
        </w:numPr>
        <w:tabs>
          <w:tab w:val="left" w:pos="1531"/>
          <w:tab w:val="left" w:pos="1532"/>
        </w:tabs>
        <w:ind w:right="180"/>
        <w:rPr>
          <w:sz w:val="24"/>
          <w:szCs w:val="24"/>
          <w:lang w:val="nl-NL"/>
        </w:rPr>
      </w:pPr>
      <w:r w:rsidRPr="00374202">
        <w:rPr>
          <w:sz w:val="24"/>
          <w:szCs w:val="24"/>
          <w:lang w:val="nl-NL"/>
        </w:rPr>
        <w:t xml:space="preserve">De student die voor het tentamen aan de studieadviseur een medische verklaring heeft overgelegd, waaruit blijkt dat hij binnen de gestelde termijn in staat moet worden gesteld het toilet te bezoeken, moet in de gelegenheid worden gesteld.  </w:t>
      </w:r>
    </w:p>
    <w:p w:rsidR="002C1782" w:rsidRPr="00374202" w:rsidRDefault="002C1782" w:rsidP="002C1782">
      <w:pPr>
        <w:pStyle w:val="ListParagraph"/>
        <w:numPr>
          <w:ilvl w:val="3"/>
          <w:numId w:val="1"/>
        </w:numPr>
        <w:tabs>
          <w:tab w:val="left" w:pos="1531"/>
          <w:tab w:val="left" w:pos="1532"/>
        </w:tabs>
        <w:ind w:right="302"/>
        <w:rPr>
          <w:sz w:val="24"/>
          <w:szCs w:val="24"/>
          <w:lang w:val="nl-NL"/>
        </w:rPr>
      </w:pPr>
      <w:r w:rsidRPr="00374202">
        <w:rPr>
          <w:sz w:val="24"/>
          <w:szCs w:val="24"/>
          <w:lang w:val="nl-NL"/>
        </w:rPr>
        <w:t>Studenten mogen uitsluitend alleen naar toilet, nooit tegelijk.</w:t>
      </w:r>
    </w:p>
    <w:p w:rsidR="002C1782" w:rsidRPr="00374202" w:rsidRDefault="002C1782" w:rsidP="002C1782">
      <w:pPr>
        <w:pStyle w:val="ListParagraph"/>
        <w:numPr>
          <w:ilvl w:val="3"/>
          <w:numId w:val="1"/>
        </w:numPr>
        <w:tabs>
          <w:tab w:val="left" w:pos="1531"/>
          <w:tab w:val="left" w:pos="1532"/>
        </w:tabs>
        <w:ind w:right="145"/>
        <w:rPr>
          <w:sz w:val="24"/>
          <w:szCs w:val="24"/>
          <w:lang w:val="nl-NL"/>
        </w:rPr>
      </w:pPr>
      <w:r w:rsidRPr="00374202">
        <w:rPr>
          <w:sz w:val="24"/>
          <w:szCs w:val="24"/>
          <w:lang w:val="nl-NL"/>
        </w:rPr>
        <w:t>De surveillant vraagt een student die gebruik wil maken van het toilet aan te tonen dat hij geen hulpmiddelen bij zich heeft. De surveillant ziet er verder op toe dat de student die tijdens het tentamen het toilet bezoekt, geen contact heeft met andere studenten, noch op enige wijze hulpmiddelen kan</w:t>
      </w:r>
      <w:r w:rsidRPr="00374202">
        <w:rPr>
          <w:spacing w:val="-8"/>
          <w:sz w:val="24"/>
          <w:szCs w:val="24"/>
          <w:lang w:val="nl-NL"/>
        </w:rPr>
        <w:t xml:space="preserve"> </w:t>
      </w:r>
      <w:r w:rsidRPr="00374202">
        <w:rPr>
          <w:sz w:val="24"/>
          <w:szCs w:val="24"/>
          <w:lang w:val="nl-NL"/>
        </w:rPr>
        <w:t>raadplegen.</w:t>
      </w:r>
    </w:p>
    <w:p w:rsidR="002C1782" w:rsidRPr="00374202" w:rsidRDefault="002C1782" w:rsidP="002C1782">
      <w:pPr>
        <w:pStyle w:val="ListParagraph"/>
        <w:numPr>
          <w:ilvl w:val="3"/>
          <w:numId w:val="1"/>
        </w:numPr>
        <w:tabs>
          <w:tab w:val="left" w:pos="1531"/>
          <w:tab w:val="left" w:pos="1532"/>
        </w:tabs>
        <w:ind w:right="328"/>
        <w:rPr>
          <w:sz w:val="24"/>
          <w:szCs w:val="24"/>
          <w:lang w:val="nl-NL"/>
        </w:rPr>
      </w:pPr>
      <w:r w:rsidRPr="00374202">
        <w:rPr>
          <w:sz w:val="24"/>
          <w:szCs w:val="24"/>
          <w:lang w:val="nl-NL"/>
        </w:rPr>
        <w:t>Als de student het toilet wil bezoeken, laat hij al het uitgereikte tentamenmateriaal met een blind blad naar boven achter op de plaats waar hij het tentamen</w:t>
      </w:r>
      <w:r w:rsidRPr="00374202">
        <w:rPr>
          <w:spacing w:val="-1"/>
          <w:sz w:val="24"/>
          <w:szCs w:val="24"/>
          <w:lang w:val="nl-NL"/>
        </w:rPr>
        <w:t xml:space="preserve"> </w:t>
      </w:r>
      <w:r w:rsidRPr="00374202">
        <w:rPr>
          <w:sz w:val="24"/>
          <w:szCs w:val="24"/>
          <w:lang w:val="nl-NL"/>
        </w:rPr>
        <w:t>aflegt.</w:t>
      </w:r>
    </w:p>
    <w:p w:rsidR="002C1782" w:rsidRPr="00374202" w:rsidRDefault="002C1782" w:rsidP="002C1782">
      <w:pPr>
        <w:pStyle w:val="BodyText"/>
        <w:spacing w:before="3"/>
        <w:ind w:left="0"/>
        <w:rPr>
          <w:lang w:val="nl-NL"/>
        </w:rPr>
      </w:pPr>
    </w:p>
    <w:p w:rsidR="002C1782" w:rsidRPr="00374202" w:rsidRDefault="002C1782" w:rsidP="002C1782">
      <w:pPr>
        <w:pStyle w:val="Heading1"/>
        <w:numPr>
          <w:ilvl w:val="2"/>
          <w:numId w:val="1"/>
        </w:numPr>
        <w:tabs>
          <w:tab w:val="left" w:pos="823"/>
          <w:tab w:val="left" w:pos="824"/>
        </w:tabs>
        <w:ind w:left="824" w:hanging="708"/>
        <w:jc w:val="left"/>
      </w:pPr>
      <w:proofErr w:type="spellStart"/>
      <w:r w:rsidRPr="00374202">
        <w:t>Eten</w:t>
      </w:r>
      <w:proofErr w:type="spellEnd"/>
      <w:r w:rsidRPr="00374202">
        <w:t xml:space="preserve"> </w:t>
      </w:r>
      <w:proofErr w:type="spellStart"/>
      <w:r w:rsidRPr="00374202">
        <w:t>en</w:t>
      </w:r>
      <w:proofErr w:type="spellEnd"/>
      <w:r w:rsidRPr="00374202">
        <w:t xml:space="preserve"> </w:t>
      </w:r>
      <w:proofErr w:type="spellStart"/>
      <w:r w:rsidRPr="00374202">
        <w:t>drinken</w:t>
      </w:r>
      <w:proofErr w:type="spellEnd"/>
      <w:r w:rsidRPr="00374202">
        <w:t xml:space="preserve"> </w:t>
      </w:r>
      <w:proofErr w:type="spellStart"/>
      <w:r w:rsidRPr="00374202">
        <w:t>tijdens</w:t>
      </w:r>
      <w:proofErr w:type="spellEnd"/>
      <w:r w:rsidRPr="00374202">
        <w:rPr>
          <w:spacing w:val="-4"/>
        </w:rPr>
        <w:t xml:space="preserve"> </w:t>
      </w:r>
      <w:proofErr w:type="spellStart"/>
      <w:r w:rsidRPr="00374202">
        <w:t>tentamen</w:t>
      </w:r>
      <w:proofErr w:type="spellEnd"/>
    </w:p>
    <w:p w:rsidR="002C1782" w:rsidRPr="00374202" w:rsidRDefault="002C1782" w:rsidP="002C1782">
      <w:pPr>
        <w:pStyle w:val="ListParagraph"/>
        <w:numPr>
          <w:ilvl w:val="3"/>
          <w:numId w:val="1"/>
        </w:numPr>
        <w:tabs>
          <w:tab w:val="left" w:pos="1531"/>
          <w:tab w:val="left" w:pos="1532"/>
        </w:tabs>
        <w:spacing w:line="274" w:lineRule="exact"/>
        <w:rPr>
          <w:sz w:val="24"/>
          <w:szCs w:val="24"/>
          <w:lang w:val="nl-NL"/>
        </w:rPr>
      </w:pPr>
      <w:r w:rsidRPr="00374202">
        <w:rPr>
          <w:sz w:val="24"/>
          <w:szCs w:val="24"/>
          <w:lang w:val="nl-NL"/>
        </w:rPr>
        <w:t>Eten tijdens het afleggen van een tentamen is niet</w:t>
      </w:r>
      <w:r w:rsidRPr="00374202">
        <w:rPr>
          <w:spacing w:val="-3"/>
          <w:sz w:val="24"/>
          <w:szCs w:val="24"/>
          <w:lang w:val="nl-NL"/>
        </w:rPr>
        <w:t xml:space="preserve"> </w:t>
      </w:r>
      <w:r w:rsidRPr="00374202">
        <w:rPr>
          <w:sz w:val="24"/>
          <w:szCs w:val="24"/>
          <w:lang w:val="nl-NL"/>
        </w:rPr>
        <w:t>toegestaan.</w:t>
      </w:r>
    </w:p>
    <w:p w:rsidR="002C1782" w:rsidRPr="00374202" w:rsidRDefault="002C1782" w:rsidP="002C1782">
      <w:pPr>
        <w:pStyle w:val="ListParagraph"/>
        <w:numPr>
          <w:ilvl w:val="3"/>
          <w:numId w:val="1"/>
        </w:numPr>
        <w:tabs>
          <w:tab w:val="left" w:pos="1531"/>
          <w:tab w:val="left" w:pos="1532"/>
        </w:tabs>
        <w:ind w:right="308"/>
        <w:rPr>
          <w:sz w:val="24"/>
          <w:szCs w:val="24"/>
          <w:lang w:val="nl-NL"/>
        </w:rPr>
      </w:pPr>
      <w:r w:rsidRPr="00374202">
        <w:rPr>
          <w:sz w:val="24"/>
          <w:szCs w:val="24"/>
          <w:lang w:val="nl-NL"/>
        </w:rPr>
        <w:t>Drinken tijdens de toets is toegestaan. De beker, het flesje of andere drankhouder kan door een surveillant of examinator worden gecontroleerd op bewerking door de</w:t>
      </w:r>
      <w:r w:rsidRPr="00374202">
        <w:rPr>
          <w:spacing w:val="-5"/>
          <w:sz w:val="24"/>
          <w:szCs w:val="24"/>
          <w:lang w:val="nl-NL"/>
        </w:rPr>
        <w:t xml:space="preserve"> </w:t>
      </w:r>
      <w:r w:rsidRPr="00374202">
        <w:rPr>
          <w:sz w:val="24"/>
          <w:szCs w:val="24"/>
          <w:lang w:val="nl-NL"/>
        </w:rPr>
        <w:t>student.</w:t>
      </w:r>
    </w:p>
    <w:p w:rsidR="00CF2364" w:rsidRPr="00374202" w:rsidRDefault="00374202" w:rsidP="00C56544">
      <w:pPr>
        <w:pStyle w:val="BodyText"/>
        <w:spacing w:before="7"/>
        <w:ind w:left="0"/>
        <w:rPr>
          <w:sz w:val="16"/>
          <w:szCs w:val="16"/>
          <w:lang w:val="nl-NL"/>
        </w:rPr>
      </w:pPr>
      <w:bookmarkStart w:id="0" w:name="_GoBack"/>
      <w:bookmarkEnd w:id="0"/>
      <w:r w:rsidRPr="00374202">
        <w:rPr>
          <w:sz w:val="16"/>
          <w:szCs w:val="16"/>
        </w:rPr>
        <w:pict>
          <v:line id="_x0000_s1026" style="position:absolute;z-index:251658752;mso-wrap-distance-left:0;mso-wrap-distance-right:0;mso-position-horizontal-relative:page" from="70.8pt,9.5pt" to="214.8pt,9.5pt" strokeweight=".6pt">
            <w10:wrap type="topAndBottom" anchorx="page"/>
          </v:line>
        </w:pict>
      </w:r>
      <w:bookmarkStart w:id="1" w:name="_bookmark3"/>
      <w:bookmarkEnd w:id="1"/>
    </w:p>
    <w:sectPr w:rsidR="00CF2364" w:rsidRPr="00374202">
      <w:headerReference w:type="default" r:id="rId8"/>
      <w:pgSz w:w="11910" w:h="16840"/>
      <w:pgMar w:top="1320" w:right="1320" w:bottom="280" w:left="1300" w:header="7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4202">
      <w:r>
        <w:separator/>
      </w:r>
    </w:p>
  </w:endnote>
  <w:endnote w:type="continuationSeparator" w:id="0">
    <w:p w:rsidR="00000000" w:rsidRDefault="003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4202">
      <w:r>
        <w:separator/>
      </w:r>
    </w:p>
  </w:footnote>
  <w:footnote w:type="continuationSeparator" w:id="0">
    <w:p w:rsidR="00000000" w:rsidRDefault="00374202">
      <w:r>
        <w:continuationSeparator/>
      </w:r>
    </w:p>
  </w:footnote>
  <w:footnote w:id="1">
    <w:p w:rsidR="00C56544" w:rsidRPr="00374202" w:rsidRDefault="00C56544">
      <w:pPr>
        <w:pStyle w:val="FootnoteText"/>
        <w:rPr>
          <w:lang w:val="nl-NL"/>
        </w:rPr>
      </w:pPr>
      <w:r>
        <w:rPr>
          <w:rStyle w:val="FootnoteReference"/>
        </w:rPr>
        <w:footnoteRef/>
      </w:r>
      <w:r w:rsidRPr="00C56544">
        <w:rPr>
          <w:lang w:val="nl-NL"/>
        </w:rPr>
        <w:t xml:space="preserve"> </w:t>
      </w:r>
      <w:r w:rsidRPr="00374202">
        <w:rPr>
          <w:sz w:val="16"/>
          <w:szCs w:val="16"/>
          <w:lang w:val="nl-NL"/>
        </w:rPr>
        <w:t>Daaronder vallen bv flesjes water, wetboeken, rekenmachines, horloges met internetfunctie etc.</w:t>
      </w:r>
    </w:p>
  </w:footnote>
  <w:footnote w:id="2">
    <w:p w:rsidR="00C56544" w:rsidRPr="00374202" w:rsidRDefault="00C56544">
      <w:pPr>
        <w:pStyle w:val="FootnoteText"/>
        <w:rPr>
          <w:lang w:val="nl-NL"/>
        </w:rPr>
      </w:pPr>
      <w:r w:rsidRPr="00374202">
        <w:rPr>
          <w:rStyle w:val="FootnoteReference"/>
        </w:rPr>
        <w:footnoteRef/>
      </w:r>
      <w:r w:rsidRPr="00374202">
        <w:rPr>
          <w:lang w:val="nl-NL"/>
        </w:rPr>
        <w:t xml:space="preserve"> </w:t>
      </w:r>
      <w:r w:rsidRPr="00374202">
        <w:rPr>
          <w:sz w:val="16"/>
          <w:szCs w:val="16"/>
          <w:lang w:val="nl-NL"/>
        </w:rPr>
        <w:t xml:space="preserve">Een geldig identiteitsbewijs kan zijn een collegekaart, paspoort, rijbewijs, ACTA-pas, ID- of </w:t>
      </w:r>
      <w:proofErr w:type="spellStart"/>
      <w:r w:rsidRPr="00374202">
        <w:rPr>
          <w:sz w:val="16"/>
          <w:szCs w:val="16"/>
          <w:lang w:val="nl-NL"/>
        </w:rPr>
        <w:t>OV-jaarkaart</w:t>
      </w:r>
      <w:proofErr w:type="spellEnd"/>
      <w:r w:rsidRPr="00374202">
        <w:rPr>
          <w:sz w:val="16"/>
          <w:szCs w:val="16"/>
          <w:lang w:val="nl-NL"/>
        </w:rPr>
        <w:t>.</w:t>
      </w:r>
    </w:p>
  </w:footnote>
  <w:footnote w:id="3">
    <w:p w:rsidR="00C56544" w:rsidRPr="00374202" w:rsidRDefault="00C56544" w:rsidP="00C56544">
      <w:pPr>
        <w:pStyle w:val="BodyText"/>
        <w:spacing w:before="4"/>
        <w:ind w:left="0"/>
        <w:rPr>
          <w:sz w:val="16"/>
          <w:szCs w:val="16"/>
          <w:lang w:val="nl-NL"/>
        </w:rPr>
      </w:pPr>
      <w:r>
        <w:rPr>
          <w:rStyle w:val="FootnoteReference"/>
        </w:rPr>
        <w:footnoteRef/>
      </w:r>
      <w:r w:rsidRPr="00C56544">
        <w:rPr>
          <w:lang w:val="nl-NL"/>
        </w:rPr>
        <w:t xml:space="preserve"> </w:t>
      </w:r>
      <w:r w:rsidRPr="00374202">
        <w:rPr>
          <w:sz w:val="16"/>
          <w:szCs w:val="16"/>
          <w:lang w:val="nl-NL"/>
        </w:rPr>
        <w:t>Dit geldt uiteraard niet voor de student die schriftelijk toestemming heeft gekregen van de examencommissie om langer door te werken, bv. als de student dyslectisch is.</w:t>
      </w:r>
    </w:p>
    <w:p w:rsidR="00C56544" w:rsidRPr="00C56544" w:rsidRDefault="00C56544">
      <w:pPr>
        <w:pStyle w:val="FootnoteTex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64" w:rsidRDefault="0037420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69.8pt;margin-top:34.5pt;width:53.5pt;height:13.05pt;z-index:-251658752;mso-position-horizontal-relative:page;mso-position-vertical-relative:page" filled="f" stroked="f">
          <v:textbox inset="0,0,0,0">
            <w:txbxContent>
              <w:p w:rsidR="00CF2364" w:rsidRPr="002C1782" w:rsidRDefault="00EC50C5">
                <w:pPr>
                  <w:spacing w:before="10"/>
                  <w:ind w:left="20"/>
                  <w:rPr>
                    <w:rFonts w:asciiTheme="minorHAnsi" w:hAnsiTheme="minorHAnsi" w:cstheme="minorHAnsi"/>
                    <w:sz w:val="20"/>
                    <w:lang w:val="nl-NL"/>
                  </w:rPr>
                </w:pPr>
                <w:r w:rsidRPr="002C1782">
                  <w:rPr>
                    <w:rFonts w:asciiTheme="minorHAnsi" w:hAnsiTheme="minorHAnsi" w:cstheme="minorHAnsi"/>
                    <w:sz w:val="20"/>
                    <w:lang w:val="nl-NL"/>
                  </w:rPr>
                  <w:t>Maart 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D7FD2"/>
    <w:multiLevelType w:val="hybridMultilevel"/>
    <w:tmpl w:val="C2666814"/>
    <w:lvl w:ilvl="0" w:tplc="49DE5C9A">
      <w:start w:val="1"/>
      <w:numFmt w:val="decimal"/>
      <w:lvlText w:val="%1."/>
      <w:lvlJc w:val="left"/>
      <w:pPr>
        <w:ind w:left="824" w:hanging="708"/>
      </w:pPr>
      <w:rPr>
        <w:rFonts w:ascii="Times New Roman" w:eastAsia="Times New Roman" w:hAnsi="Times New Roman" w:cs="Times New Roman" w:hint="default"/>
        <w:b/>
        <w:bCs/>
        <w:spacing w:val="-4"/>
        <w:w w:val="99"/>
        <w:sz w:val="24"/>
        <w:szCs w:val="24"/>
      </w:rPr>
    </w:lvl>
    <w:lvl w:ilvl="1" w:tplc="1254967C">
      <w:start w:val="1"/>
      <w:numFmt w:val="decimal"/>
      <w:lvlText w:val="%2."/>
      <w:lvlJc w:val="left"/>
      <w:pPr>
        <w:ind w:left="1532" w:hanging="708"/>
        <w:jc w:val="right"/>
      </w:pPr>
      <w:rPr>
        <w:rFonts w:hint="default"/>
        <w:spacing w:val="-3"/>
        <w:w w:val="97"/>
      </w:rPr>
    </w:lvl>
    <w:lvl w:ilvl="2" w:tplc="9D1A8190">
      <w:start w:val="1"/>
      <w:numFmt w:val="decimal"/>
      <w:lvlText w:val="%3."/>
      <w:lvlJc w:val="left"/>
      <w:pPr>
        <w:ind w:left="1532" w:hanging="711"/>
        <w:jc w:val="right"/>
      </w:pPr>
      <w:rPr>
        <w:rFonts w:hint="default"/>
        <w:spacing w:val="-3"/>
        <w:w w:val="99"/>
      </w:rPr>
    </w:lvl>
    <w:lvl w:ilvl="3" w:tplc="FBC67210">
      <w:start w:val="1"/>
      <w:numFmt w:val="decimal"/>
      <w:lvlText w:val="%4."/>
      <w:lvlJc w:val="left"/>
      <w:pPr>
        <w:ind w:left="1532" w:hanging="708"/>
      </w:pPr>
      <w:rPr>
        <w:rFonts w:ascii="Times New Roman" w:eastAsia="Times New Roman" w:hAnsi="Times New Roman" w:cs="Times New Roman" w:hint="default"/>
        <w:spacing w:val="-3"/>
        <w:w w:val="99"/>
        <w:sz w:val="24"/>
        <w:szCs w:val="24"/>
      </w:rPr>
    </w:lvl>
    <w:lvl w:ilvl="4" w:tplc="5336C262">
      <w:numFmt w:val="bullet"/>
      <w:lvlText w:val="•"/>
      <w:lvlJc w:val="left"/>
      <w:pPr>
        <w:ind w:left="3476" w:hanging="708"/>
      </w:pPr>
      <w:rPr>
        <w:rFonts w:hint="default"/>
      </w:rPr>
    </w:lvl>
    <w:lvl w:ilvl="5" w:tplc="C8A61EE2">
      <w:numFmt w:val="bullet"/>
      <w:lvlText w:val="•"/>
      <w:lvlJc w:val="left"/>
      <w:pPr>
        <w:ind w:left="4444" w:hanging="708"/>
      </w:pPr>
      <w:rPr>
        <w:rFonts w:hint="default"/>
      </w:rPr>
    </w:lvl>
    <w:lvl w:ilvl="6" w:tplc="18B2C006">
      <w:numFmt w:val="bullet"/>
      <w:lvlText w:val="•"/>
      <w:lvlJc w:val="left"/>
      <w:pPr>
        <w:ind w:left="5413" w:hanging="708"/>
      </w:pPr>
      <w:rPr>
        <w:rFonts w:hint="default"/>
      </w:rPr>
    </w:lvl>
    <w:lvl w:ilvl="7" w:tplc="397CC2D8">
      <w:numFmt w:val="bullet"/>
      <w:lvlText w:val="•"/>
      <w:lvlJc w:val="left"/>
      <w:pPr>
        <w:ind w:left="6381" w:hanging="708"/>
      </w:pPr>
      <w:rPr>
        <w:rFonts w:hint="default"/>
      </w:rPr>
    </w:lvl>
    <w:lvl w:ilvl="8" w:tplc="93EC5448">
      <w:numFmt w:val="bullet"/>
      <w:lvlText w:val="•"/>
      <w:lvlJc w:val="left"/>
      <w:pPr>
        <w:ind w:left="7349"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F2364"/>
    <w:rsid w:val="002C1782"/>
    <w:rsid w:val="00374202"/>
    <w:rsid w:val="00C56544"/>
    <w:rsid w:val="00CB2449"/>
    <w:rsid w:val="00CF2364"/>
    <w:rsid w:val="00EC50C5"/>
    <w:rsid w:val="00FF7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8B2B1"/>
  <w15:docId w15:val="{03661964-5EB5-43EF-9264-D43B1140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824"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2"/>
    </w:pPr>
    <w:rPr>
      <w:sz w:val="24"/>
      <w:szCs w:val="24"/>
    </w:rPr>
  </w:style>
  <w:style w:type="paragraph" w:styleId="ListParagraph">
    <w:name w:val="List Paragraph"/>
    <w:basedOn w:val="Normal"/>
    <w:uiPriority w:val="1"/>
    <w:qFormat/>
    <w:pPr>
      <w:ind w:left="1532"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0C5"/>
    <w:pPr>
      <w:tabs>
        <w:tab w:val="center" w:pos="4513"/>
        <w:tab w:val="right" w:pos="9026"/>
      </w:tabs>
    </w:pPr>
  </w:style>
  <w:style w:type="character" w:customStyle="1" w:styleId="HeaderChar">
    <w:name w:val="Header Char"/>
    <w:basedOn w:val="DefaultParagraphFont"/>
    <w:link w:val="Header"/>
    <w:uiPriority w:val="99"/>
    <w:rsid w:val="00EC50C5"/>
    <w:rPr>
      <w:rFonts w:ascii="Times New Roman" w:eastAsia="Times New Roman" w:hAnsi="Times New Roman" w:cs="Times New Roman"/>
    </w:rPr>
  </w:style>
  <w:style w:type="paragraph" w:styleId="Footer">
    <w:name w:val="footer"/>
    <w:basedOn w:val="Normal"/>
    <w:link w:val="FooterChar"/>
    <w:uiPriority w:val="99"/>
    <w:unhideWhenUsed/>
    <w:rsid w:val="00EC50C5"/>
    <w:pPr>
      <w:tabs>
        <w:tab w:val="center" w:pos="4513"/>
        <w:tab w:val="right" w:pos="9026"/>
      </w:tabs>
    </w:pPr>
  </w:style>
  <w:style w:type="character" w:customStyle="1" w:styleId="FooterChar">
    <w:name w:val="Footer Char"/>
    <w:basedOn w:val="DefaultParagraphFont"/>
    <w:link w:val="Footer"/>
    <w:uiPriority w:val="99"/>
    <w:rsid w:val="00EC50C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56544"/>
    <w:rPr>
      <w:sz w:val="20"/>
      <w:szCs w:val="20"/>
    </w:rPr>
  </w:style>
  <w:style w:type="character" w:customStyle="1" w:styleId="FootnoteTextChar">
    <w:name w:val="Footnote Text Char"/>
    <w:basedOn w:val="DefaultParagraphFont"/>
    <w:link w:val="FootnoteText"/>
    <w:uiPriority w:val="99"/>
    <w:semiHidden/>
    <w:rsid w:val="00C56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1B95-3C47-4528-A365-1270F0C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772</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 bespreking met USR (1 sep) en werkoverleg Lex(5 sep 11)</vt:lpstr>
    </vt:vector>
  </TitlesOfParts>
  <Company>Vrije Universiteit Amsterdam</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bespreking met USR (1 sep) en werkoverleg Lex(5 sep 11)</dc:title>
  <dc:creator>j.bekker</dc:creator>
  <cp:lastModifiedBy>Tilstra, S.</cp:lastModifiedBy>
  <cp:revision>4</cp:revision>
  <dcterms:created xsi:type="dcterms:W3CDTF">2019-03-21T12:45:00Z</dcterms:created>
  <dcterms:modified xsi:type="dcterms:W3CDTF">2019-03-21T13:21:00Z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Acrobat PDFMaker 10.1 for Word</vt:lpwstr>
  </property>
  <property fmtid="{D5CDD505-2E9C-101B-9397-08002B2CF9AE}" pid="4" name="LastSaved">
    <vt:filetime>2019-03-21T00:00:00Z</vt:filetime>
  </property>
</Properties>
</file>