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76E55" w14:textId="77777777" w:rsidR="00B125BB" w:rsidRPr="008732B1" w:rsidRDefault="00B125BB" w:rsidP="00B125BB">
      <w:pPr>
        <w:spacing w:line="276" w:lineRule="auto"/>
        <w:rPr>
          <w:rFonts w:ascii="Arial" w:hAnsi="Arial" w:cs="Arial"/>
          <w:b/>
          <w:color w:val="44546A" w:themeColor="text2"/>
          <w:sz w:val="40"/>
          <w:szCs w:val="44"/>
          <w:lang w:val="en-US"/>
        </w:rPr>
      </w:pPr>
      <w:r w:rsidRPr="008732B1">
        <w:rPr>
          <w:rFonts w:ascii="Arial" w:hAnsi="Arial" w:cs="Arial"/>
          <w:b/>
          <w:color w:val="44546A" w:themeColor="text2"/>
          <w:sz w:val="40"/>
          <w:szCs w:val="44"/>
          <w:lang w:val="en-US"/>
        </w:rPr>
        <w:t>Regulations for the Binding Recommendation on Continuation of Studies (BSA)</w:t>
      </w:r>
    </w:p>
    <w:p w14:paraId="23E09A0F" w14:textId="77777777" w:rsidR="00B125BB" w:rsidRPr="00B125BB" w:rsidRDefault="00B125BB" w:rsidP="00B125BB">
      <w:pPr>
        <w:spacing w:line="276" w:lineRule="auto"/>
        <w:rPr>
          <w:rFonts w:ascii="Arial" w:hAnsi="Arial" w:cs="Arial"/>
          <w:b/>
          <w:color w:val="44546A" w:themeColor="text2"/>
          <w:sz w:val="28"/>
          <w:szCs w:val="28"/>
          <w:lang w:val="en-US"/>
        </w:rPr>
      </w:pPr>
      <w:r w:rsidRPr="00B125BB">
        <w:rPr>
          <w:rFonts w:ascii="Arial" w:hAnsi="Arial" w:cs="Arial"/>
          <w:b/>
          <w:color w:val="44546A" w:themeColor="text2"/>
          <w:sz w:val="28"/>
          <w:szCs w:val="28"/>
          <w:lang w:val="en-US"/>
        </w:rPr>
        <w:t>Faculty of Social Sciences</w:t>
      </w:r>
    </w:p>
    <w:p w14:paraId="7A82E97E" w14:textId="77777777" w:rsidR="00B125BB" w:rsidRPr="00B125BB" w:rsidRDefault="00B125BB" w:rsidP="00B125BB">
      <w:pPr>
        <w:spacing w:line="276" w:lineRule="auto"/>
        <w:rPr>
          <w:rFonts w:ascii="Arial" w:hAnsi="Arial" w:cs="Arial"/>
          <w:b/>
          <w:color w:val="44546A" w:themeColor="text2"/>
          <w:lang w:val="en-US"/>
        </w:rPr>
      </w:pPr>
    </w:p>
    <w:p w14:paraId="0B4481E2" w14:textId="28BD7E51" w:rsidR="00B125BB" w:rsidRDefault="00B125BB" w:rsidP="00B125BB">
      <w:pPr>
        <w:spacing w:line="276" w:lineRule="auto"/>
        <w:rPr>
          <w:rFonts w:ascii="Arial" w:hAnsi="Arial" w:cs="Arial"/>
          <w:b/>
          <w:color w:val="44546A" w:themeColor="text2"/>
          <w:lang w:val="en-US"/>
        </w:rPr>
      </w:pPr>
      <w:r w:rsidRPr="00B125BB">
        <w:rPr>
          <w:rFonts w:ascii="Arial" w:hAnsi="Arial" w:cs="Arial"/>
          <w:b/>
          <w:color w:val="44546A" w:themeColor="text2"/>
          <w:lang w:val="en-US"/>
        </w:rPr>
        <w:t xml:space="preserve">With effect </w:t>
      </w:r>
      <w:r w:rsidR="00830238">
        <w:rPr>
          <w:rFonts w:ascii="Arial" w:hAnsi="Arial" w:cs="Arial"/>
          <w:b/>
          <w:color w:val="44546A" w:themeColor="text2"/>
          <w:lang w:val="en-US"/>
        </w:rPr>
        <w:t xml:space="preserve">from </w:t>
      </w:r>
      <w:r w:rsidRPr="00B125BB">
        <w:rPr>
          <w:rFonts w:ascii="Arial" w:hAnsi="Arial" w:cs="Arial"/>
          <w:b/>
          <w:color w:val="44546A" w:themeColor="text2"/>
          <w:lang w:val="en-US"/>
        </w:rPr>
        <w:t>2016-2017</w:t>
      </w:r>
    </w:p>
    <w:p w14:paraId="5E377F5C" w14:textId="77777777" w:rsidR="00B125BB" w:rsidRDefault="00B125BB" w:rsidP="00B125BB">
      <w:pPr>
        <w:spacing w:line="276" w:lineRule="auto"/>
        <w:rPr>
          <w:rFonts w:ascii="Arial" w:hAnsi="Arial" w:cs="Arial"/>
          <w:b/>
          <w:color w:val="44546A" w:themeColor="text2"/>
          <w:lang w:val="en-US"/>
        </w:rPr>
      </w:pPr>
    </w:p>
    <w:p w14:paraId="121DD879" w14:textId="77777777" w:rsidR="00B125BB" w:rsidRPr="00B125BB" w:rsidRDefault="00B125BB" w:rsidP="00B125BB">
      <w:pPr>
        <w:spacing w:line="276" w:lineRule="auto"/>
        <w:rPr>
          <w:rFonts w:ascii="Arial" w:hAnsi="Arial" w:cs="Arial"/>
          <w:b/>
          <w:color w:val="5B9BD5" w:themeColor="accent1"/>
          <w:lang w:val="en-US"/>
        </w:rPr>
      </w:pPr>
      <w:r w:rsidRPr="00B125BB">
        <w:rPr>
          <w:rFonts w:ascii="Arial" w:hAnsi="Arial" w:cs="Arial"/>
          <w:b/>
          <w:color w:val="5B9BD5" w:themeColor="accent1"/>
          <w:lang w:val="en-US"/>
        </w:rPr>
        <w:t>Article 1 Provision of study advice</w:t>
      </w:r>
    </w:p>
    <w:p w14:paraId="1E064A97" w14:textId="77777777" w:rsidR="00B125BB" w:rsidRPr="00D503EA" w:rsidRDefault="00B125BB" w:rsidP="00B125BB">
      <w:pPr>
        <w:pStyle w:val="Lijstalinea"/>
        <w:numPr>
          <w:ilvl w:val="0"/>
          <w:numId w:val="2"/>
        </w:numPr>
        <w:spacing w:line="276" w:lineRule="auto"/>
        <w:rPr>
          <w:rFonts w:ascii="Arial" w:hAnsi="Arial" w:cs="Arial"/>
          <w:lang w:val="en-US"/>
        </w:rPr>
      </w:pPr>
      <w:r w:rsidRPr="00D503EA">
        <w:rPr>
          <w:rFonts w:ascii="Arial" w:hAnsi="Arial" w:cs="Arial"/>
          <w:lang w:val="en-US"/>
        </w:rPr>
        <w:t xml:space="preserve">The Faculty Board shall advise each student of the faculty's Bachelor's </w:t>
      </w:r>
      <w:proofErr w:type="spellStart"/>
      <w:r w:rsidRPr="00D503EA">
        <w:rPr>
          <w:rFonts w:ascii="Arial" w:hAnsi="Arial" w:cs="Arial"/>
          <w:lang w:val="en-US"/>
        </w:rPr>
        <w:t>programmes</w:t>
      </w:r>
      <w:proofErr w:type="spellEnd"/>
      <w:r w:rsidRPr="00D503EA">
        <w:rPr>
          <w:rFonts w:ascii="Arial" w:hAnsi="Arial" w:cs="Arial"/>
          <w:lang w:val="en-US"/>
        </w:rPr>
        <w:t xml:space="preserve"> on the continuation of their studies no later than at the end of their first year of enrolment. The study advice is issued on behalf of the Faculty Board by the Faculty's Binding Study Advice Committee (BSA Committee).</w:t>
      </w:r>
    </w:p>
    <w:p w14:paraId="726831E8" w14:textId="77777777" w:rsidR="00B125BB" w:rsidRPr="00D503EA" w:rsidRDefault="00B125BB" w:rsidP="00B125BB">
      <w:pPr>
        <w:pStyle w:val="Lijstalinea"/>
        <w:numPr>
          <w:ilvl w:val="0"/>
          <w:numId w:val="2"/>
        </w:numPr>
        <w:spacing w:line="276" w:lineRule="auto"/>
        <w:rPr>
          <w:rFonts w:ascii="Arial" w:hAnsi="Arial" w:cs="Arial"/>
          <w:lang w:val="en-US"/>
        </w:rPr>
      </w:pPr>
      <w:r w:rsidRPr="00D503EA">
        <w:rPr>
          <w:rFonts w:ascii="Arial" w:hAnsi="Arial" w:cs="Arial"/>
          <w:lang w:val="en-US"/>
        </w:rPr>
        <w:t xml:space="preserve">In the Teaching and Examination Regulations, the Faculty Board sets the standard that students must meet in order to demonstrate </w:t>
      </w:r>
      <w:r w:rsidR="00E9298A">
        <w:rPr>
          <w:rFonts w:ascii="Arial" w:hAnsi="Arial" w:cs="Arial"/>
          <w:lang w:val="en-US"/>
        </w:rPr>
        <w:t xml:space="preserve">their suitability for the </w:t>
      </w:r>
      <w:proofErr w:type="spellStart"/>
      <w:r w:rsidRPr="00D503EA">
        <w:rPr>
          <w:rFonts w:ascii="Arial" w:hAnsi="Arial" w:cs="Arial"/>
          <w:lang w:val="en-US"/>
        </w:rPr>
        <w:t>programme</w:t>
      </w:r>
      <w:proofErr w:type="spellEnd"/>
      <w:r w:rsidRPr="00D503EA">
        <w:rPr>
          <w:rFonts w:ascii="Arial" w:hAnsi="Arial" w:cs="Arial"/>
          <w:lang w:val="en-US"/>
        </w:rPr>
        <w:t xml:space="preserve">. For the bachelor's </w:t>
      </w:r>
      <w:proofErr w:type="spellStart"/>
      <w:r w:rsidRPr="00D503EA">
        <w:rPr>
          <w:rFonts w:ascii="Arial" w:hAnsi="Arial" w:cs="Arial"/>
          <w:lang w:val="en-US"/>
        </w:rPr>
        <w:t>programmes</w:t>
      </w:r>
      <w:proofErr w:type="spellEnd"/>
      <w:r w:rsidRPr="00D503EA">
        <w:rPr>
          <w:rFonts w:ascii="Arial" w:hAnsi="Arial" w:cs="Arial"/>
          <w:lang w:val="en-US"/>
        </w:rPr>
        <w:t xml:space="preserve"> of the faculty, the standard is 42 EC.</w:t>
      </w:r>
    </w:p>
    <w:p w14:paraId="224F942F" w14:textId="77777777" w:rsidR="00B125BB" w:rsidRPr="00D503EA" w:rsidRDefault="00B125BB" w:rsidP="00B125BB">
      <w:pPr>
        <w:pStyle w:val="Lijstalinea"/>
        <w:numPr>
          <w:ilvl w:val="0"/>
          <w:numId w:val="2"/>
        </w:numPr>
        <w:spacing w:line="276" w:lineRule="auto"/>
        <w:rPr>
          <w:rFonts w:ascii="Arial" w:hAnsi="Arial" w:cs="Arial"/>
          <w:lang w:val="en-US"/>
        </w:rPr>
      </w:pPr>
      <w:r w:rsidRPr="00D503EA">
        <w:rPr>
          <w:rFonts w:ascii="Arial" w:hAnsi="Arial" w:cs="Arial"/>
          <w:lang w:val="en-US"/>
        </w:rPr>
        <w:t>Exemptions are taken into account when determining whether the standard has been achieved.</w:t>
      </w:r>
    </w:p>
    <w:p w14:paraId="61F48F23" w14:textId="77777777" w:rsidR="00B125BB" w:rsidRPr="00D503EA" w:rsidRDefault="00B125BB" w:rsidP="00B125BB">
      <w:pPr>
        <w:pStyle w:val="Lijstalinea"/>
        <w:numPr>
          <w:ilvl w:val="0"/>
          <w:numId w:val="2"/>
        </w:numPr>
        <w:spacing w:line="276" w:lineRule="auto"/>
        <w:rPr>
          <w:rFonts w:ascii="Arial" w:hAnsi="Arial" w:cs="Arial"/>
          <w:lang w:val="en-US"/>
        </w:rPr>
      </w:pPr>
      <w:r w:rsidRPr="00D503EA">
        <w:rPr>
          <w:rFonts w:ascii="Arial" w:hAnsi="Arial" w:cs="Arial"/>
          <w:lang w:val="en-US"/>
        </w:rPr>
        <w:t xml:space="preserve">Students who start their </w:t>
      </w:r>
      <w:proofErr w:type="spellStart"/>
      <w:r w:rsidRPr="00D503EA">
        <w:rPr>
          <w:rFonts w:ascii="Arial" w:hAnsi="Arial" w:cs="Arial"/>
          <w:lang w:val="en-US"/>
        </w:rPr>
        <w:t>programme</w:t>
      </w:r>
      <w:proofErr w:type="spellEnd"/>
      <w:r w:rsidRPr="00D503EA">
        <w:rPr>
          <w:rFonts w:ascii="Arial" w:hAnsi="Arial" w:cs="Arial"/>
          <w:lang w:val="en-US"/>
        </w:rPr>
        <w:t xml:space="preserve"> at the VU in the second or third year of the </w:t>
      </w:r>
      <w:proofErr w:type="spellStart"/>
      <w:r w:rsidRPr="00D503EA">
        <w:rPr>
          <w:rFonts w:ascii="Arial" w:hAnsi="Arial" w:cs="Arial"/>
          <w:lang w:val="en-US"/>
        </w:rPr>
        <w:t>programme</w:t>
      </w:r>
      <w:proofErr w:type="spellEnd"/>
      <w:r w:rsidRPr="00D503EA">
        <w:rPr>
          <w:rFonts w:ascii="Arial" w:hAnsi="Arial" w:cs="Arial"/>
          <w:lang w:val="en-US"/>
        </w:rPr>
        <w:t xml:space="preserve"> do not receive study advice.</w:t>
      </w:r>
    </w:p>
    <w:p w14:paraId="7E24172A" w14:textId="77777777" w:rsidR="00B125BB" w:rsidRPr="00D503EA" w:rsidRDefault="00B125BB" w:rsidP="00B125BB">
      <w:pPr>
        <w:pStyle w:val="Lijstalinea"/>
        <w:numPr>
          <w:ilvl w:val="0"/>
          <w:numId w:val="2"/>
        </w:numPr>
        <w:spacing w:line="276" w:lineRule="auto"/>
        <w:rPr>
          <w:rFonts w:ascii="Arial" w:hAnsi="Arial" w:cs="Arial"/>
          <w:lang w:val="en-US"/>
        </w:rPr>
      </w:pPr>
      <w:r w:rsidRPr="00D503EA">
        <w:rPr>
          <w:rFonts w:ascii="Arial" w:hAnsi="Arial" w:cs="Arial"/>
          <w:lang w:val="en-US"/>
        </w:rPr>
        <w:t>Students whose enrolment was terminated before 1 February (request for deregistration before 1 February) will not receive any study advice either.</w:t>
      </w:r>
    </w:p>
    <w:p w14:paraId="4999A436" w14:textId="1867D0C1" w:rsidR="00B125BB" w:rsidRDefault="00B125BB" w:rsidP="00B125BB">
      <w:pPr>
        <w:pStyle w:val="Lijstalinea"/>
        <w:numPr>
          <w:ilvl w:val="0"/>
          <w:numId w:val="2"/>
        </w:numPr>
        <w:spacing w:line="276" w:lineRule="auto"/>
        <w:rPr>
          <w:rFonts w:ascii="Arial" w:hAnsi="Arial" w:cs="Arial"/>
          <w:lang w:val="en-US"/>
        </w:rPr>
      </w:pPr>
      <w:r w:rsidRPr="00D503EA">
        <w:rPr>
          <w:rFonts w:ascii="Arial" w:hAnsi="Arial" w:cs="Arial"/>
          <w:lang w:val="en-US"/>
        </w:rPr>
        <w:t>Students who have been granted a postponemen</w:t>
      </w:r>
      <w:r w:rsidR="00E9298A">
        <w:rPr>
          <w:rFonts w:ascii="Arial" w:hAnsi="Arial" w:cs="Arial"/>
          <w:lang w:val="en-US"/>
        </w:rPr>
        <w:t>t of the study advice by the BSA</w:t>
      </w:r>
      <w:r w:rsidRPr="00D503EA">
        <w:rPr>
          <w:rFonts w:ascii="Arial" w:hAnsi="Arial" w:cs="Arial"/>
          <w:lang w:val="en-US"/>
        </w:rPr>
        <w:t xml:space="preserve"> Committee in the</w:t>
      </w:r>
      <w:r w:rsidR="008A7C2D">
        <w:rPr>
          <w:rFonts w:ascii="Arial" w:hAnsi="Arial" w:cs="Arial"/>
          <w:lang w:val="en-US"/>
        </w:rPr>
        <w:t>ir</w:t>
      </w:r>
      <w:r w:rsidRPr="00D503EA">
        <w:rPr>
          <w:rFonts w:ascii="Arial" w:hAnsi="Arial" w:cs="Arial"/>
          <w:lang w:val="en-US"/>
        </w:rPr>
        <w:t xml:space="preserve"> first year of study will</w:t>
      </w:r>
      <w:r w:rsidR="008A7C2D">
        <w:rPr>
          <w:rFonts w:ascii="Arial" w:hAnsi="Arial" w:cs="Arial"/>
          <w:lang w:val="en-US"/>
        </w:rPr>
        <w:t xml:space="preserve"> instead</w:t>
      </w:r>
      <w:r w:rsidRPr="00D503EA">
        <w:rPr>
          <w:rFonts w:ascii="Arial" w:hAnsi="Arial" w:cs="Arial"/>
          <w:lang w:val="en-US"/>
        </w:rPr>
        <w:t xml:space="preserve"> receive</w:t>
      </w:r>
      <w:r w:rsidR="008A7C2D">
        <w:rPr>
          <w:rFonts w:ascii="Arial" w:hAnsi="Arial" w:cs="Arial"/>
          <w:lang w:val="en-US"/>
        </w:rPr>
        <w:t xml:space="preserve"> it</w:t>
      </w:r>
      <w:r w:rsidRPr="00D503EA">
        <w:rPr>
          <w:rFonts w:ascii="Arial" w:hAnsi="Arial" w:cs="Arial"/>
          <w:lang w:val="en-US"/>
        </w:rPr>
        <w:t xml:space="preserve"> in the</w:t>
      </w:r>
      <w:r w:rsidR="008A7C2D">
        <w:rPr>
          <w:rFonts w:ascii="Arial" w:hAnsi="Arial" w:cs="Arial"/>
          <w:lang w:val="en-US"/>
        </w:rPr>
        <w:t>ir</w:t>
      </w:r>
      <w:r w:rsidRPr="00D503EA">
        <w:rPr>
          <w:rFonts w:ascii="Arial" w:hAnsi="Arial" w:cs="Arial"/>
          <w:lang w:val="en-US"/>
        </w:rPr>
        <w:t xml:space="preserve"> second year of study. </w:t>
      </w:r>
    </w:p>
    <w:p w14:paraId="263D927F" w14:textId="77777777" w:rsidR="00E9298A" w:rsidRDefault="00E9298A" w:rsidP="00E9298A">
      <w:pPr>
        <w:spacing w:line="276" w:lineRule="auto"/>
        <w:rPr>
          <w:rFonts w:ascii="Arial" w:hAnsi="Arial" w:cs="Arial"/>
          <w:lang w:val="en-US"/>
        </w:rPr>
      </w:pPr>
    </w:p>
    <w:p w14:paraId="2329D4AD" w14:textId="77777777" w:rsidR="00E9298A" w:rsidRPr="00E9298A" w:rsidRDefault="00E9298A" w:rsidP="00E9298A">
      <w:pPr>
        <w:spacing w:line="276" w:lineRule="auto"/>
        <w:rPr>
          <w:rFonts w:ascii="Arial" w:hAnsi="Arial" w:cs="Arial"/>
          <w:b/>
          <w:color w:val="5B9BD5" w:themeColor="accent1"/>
          <w:lang w:val="en-US"/>
        </w:rPr>
      </w:pPr>
      <w:r w:rsidRPr="00E9298A">
        <w:rPr>
          <w:rFonts w:ascii="Arial" w:hAnsi="Arial" w:cs="Arial"/>
          <w:b/>
          <w:color w:val="5B9BD5" w:themeColor="accent1"/>
          <w:lang w:val="en-US"/>
        </w:rPr>
        <w:t>Article 2 Binding negative study advice</w:t>
      </w:r>
    </w:p>
    <w:p w14:paraId="16D0AFB7" w14:textId="77777777" w:rsidR="00E9298A" w:rsidRDefault="00E9298A" w:rsidP="00E9298A">
      <w:pPr>
        <w:pStyle w:val="Lijstalinea"/>
        <w:numPr>
          <w:ilvl w:val="0"/>
          <w:numId w:val="3"/>
        </w:numPr>
        <w:spacing w:line="276" w:lineRule="auto"/>
        <w:rPr>
          <w:rFonts w:ascii="Arial" w:hAnsi="Arial" w:cs="Arial"/>
          <w:lang w:val="en-US"/>
        </w:rPr>
      </w:pPr>
      <w:r w:rsidRPr="00E9298A">
        <w:rPr>
          <w:rFonts w:ascii="Arial" w:hAnsi="Arial" w:cs="Arial"/>
          <w:lang w:val="en-US"/>
        </w:rPr>
        <w:t>The Faculty Board may attach a rejection to the recommendation if the student has not met the standard of 42</w:t>
      </w:r>
      <w:r w:rsidR="00FE5CDA">
        <w:rPr>
          <w:rFonts w:ascii="Arial" w:hAnsi="Arial" w:cs="Arial"/>
          <w:lang w:val="en-US"/>
        </w:rPr>
        <w:t xml:space="preserve"> EC of the first year of study (</w:t>
      </w:r>
      <w:r>
        <w:rPr>
          <w:rFonts w:ascii="Arial" w:hAnsi="Arial" w:cs="Arial"/>
          <w:lang w:val="en-US"/>
        </w:rPr>
        <w:t>b</w:t>
      </w:r>
      <w:r w:rsidRPr="00E9298A">
        <w:rPr>
          <w:rFonts w:ascii="Arial" w:hAnsi="Arial" w:cs="Arial"/>
          <w:lang w:val="en-US"/>
        </w:rPr>
        <w:t xml:space="preserve">inding </w:t>
      </w:r>
      <w:r w:rsidR="00FE5CDA">
        <w:rPr>
          <w:rFonts w:ascii="Arial" w:hAnsi="Arial" w:cs="Arial"/>
          <w:lang w:val="en-US"/>
        </w:rPr>
        <w:t xml:space="preserve">negative </w:t>
      </w:r>
      <w:r w:rsidRPr="00E9298A">
        <w:rPr>
          <w:rFonts w:ascii="Arial" w:hAnsi="Arial" w:cs="Arial"/>
          <w:lang w:val="en-US"/>
        </w:rPr>
        <w:t xml:space="preserve">recommendation). </w:t>
      </w:r>
    </w:p>
    <w:p w14:paraId="5EF1C22A" w14:textId="3C5965A5" w:rsidR="00E9298A" w:rsidRDefault="00E9298A" w:rsidP="00E9298A">
      <w:pPr>
        <w:pStyle w:val="Lijstalinea"/>
        <w:numPr>
          <w:ilvl w:val="0"/>
          <w:numId w:val="3"/>
        </w:numPr>
        <w:spacing w:line="276" w:lineRule="auto"/>
        <w:rPr>
          <w:rFonts w:ascii="Arial" w:hAnsi="Arial" w:cs="Arial"/>
          <w:lang w:val="en-US"/>
        </w:rPr>
      </w:pPr>
      <w:r w:rsidRPr="00E9298A">
        <w:rPr>
          <w:rFonts w:ascii="Arial" w:hAnsi="Arial" w:cs="Arial"/>
          <w:lang w:val="en-US"/>
        </w:rPr>
        <w:t xml:space="preserve">The binding </w:t>
      </w:r>
      <w:r w:rsidR="00FE5CDA">
        <w:rPr>
          <w:rFonts w:ascii="Arial" w:hAnsi="Arial" w:cs="Arial"/>
          <w:lang w:val="en-US"/>
        </w:rPr>
        <w:t xml:space="preserve">negative </w:t>
      </w:r>
      <w:r w:rsidRPr="00E9298A">
        <w:rPr>
          <w:rFonts w:ascii="Arial" w:hAnsi="Arial" w:cs="Arial"/>
          <w:lang w:val="en-US"/>
        </w:rPr>
        <w:t>recommendation will not apply if it has been establish</w:t>
      </w:r>
      <w:r>
        <w:rPr>
          <w:rFonts w:ascii="Arial" w:hAnsi="Arial" w:cs="Arial"/>
          <w:lang w:val="en-US"/>
        </w:rPr>
        <w:t>ed that the student</w:t>
      </w:r>
      <w:r w:rsidRPr="00E9298A">
        <w:rPr>
          <w:rFonts w:ascii="Arial" w:hAnsi="Arial" w:cs="Arial"/>
          <w:lang w:val="en-US"/>
        </w:rPr>
        <w:t xml:space="preserve"> </w:t>
      </w:r>
      <w:r w:rsidR="00105643">
        <w:rPr>
          <w:rFonts w:ascii="Arial" w:hAnsi="Arial" w:cs="Arial"/>
          <w:lang w:val="en-US"/>
        </w:rPr>
        <w:t>w</w:t>
      </w:r>
      <w:r w:rsidRPr="00E9298A">
        <w:rPr>
          <w:rFonts w:ascii="Arial" w:hAnsi="Arial" w:cs="Arial"/>
          <w:lang w:val="en-US"/>
        </w:rPr>
        <w:t xml:space="preserve">as not able to meet the standard as a result of personal circumstances. The circumstances in question are set out in Article 2.1 of the WHW </w:t>
      </w:r>
      <w:r w:rsidRPr="00BF13A3">
        <w:rPr>
          <w:rFonts w:ascii="Arial" w:hAnsi="Arial" w:cs="Arial"/>
          <w:lang w:val="en-US"/>
        </w:rPr>
        <w:t>Implementation Regulation</w:t>
      </w:r>
      <w:r w:rsidRPr="00E9298A">
        <w:rPr>
          <w:rFonts w:ascii="Arial" w:hAnsi="Arial" w:cs="Arial"/>
          <w:lang w:val="en-US"/>
        </w:rPr>
        <w:t xml:space="preserve"> 2008</w:t>
      </w:r>
      <w:r w:rsidR="00105643">
        <w:rPr>
          <w:rFonts w:ascii="Arial" w:hAnsi="Arial" w:cs="Arial"/>
          <w:lang w:val="en-US"/>
        </w:rPr>
        <w:t>;</w:t>
      </w:r>
      <w:r w:rsidRPr="00E9298A">
        <w:rPr>
          <w:rFonts w:ascii="Arial" w:hAnsi="Arial" w:cs="Arial"/>
          <w:lang w:val="en-US"/>
        </w:rPr>
        <w:t xml:space="preserve"> see also Appendix 1. In this case, the student will be </w:t>
      </w:r>
      <w:r w:rsidR="00105643">
        <w:rPr>
          <w:rFonts w:ascii="Arial" w:hAnsi="Arial" w:cs="Arial"/>
          <w:lang w:val="en-US"/>
        </w:rPr>
        <w:t>allowed</w:t>
      </w:r>
      <w:r w:rsidR="00105643" w:rsidRPr="00E9298A">
        <w:rPr>
          <w:rFonts w:ascii="Arial" w:hAnsi="Arial" w:cs="Arial"/>
          <w:lang w:val="en-US"/>
        </w:rPr>
        <w:t xml:space="preserve"> </w:t>
      </w:r>
      <w:r w:rsidRPr="00E9298A">
        <w:rPr>
          <w:rFonts w:ascii="Arial" w:hAnsi="Arial" w:cs="Arial"/>
          <w:lang w:val="en-US"/>
        </w:rPr>
        <w:t xml:space="preserve">to obtain the remaining </w:t>
      </w:r>
      <w:r w:rsidR="00105643">
        <w:rPr>
          <w:rFonts w:ascii="Arial" w:hAnsi="Arial" w:cs="Arial"/>
          <w:lang w:val="en-US"/>
        </w:rPr>
        <w:t>EC</w:t>
      </w:r>
      <w:r w:rsidR="00105643" w:rsidRPr="00E9298A">
        <w:rPr>
          <w:rFonts w:ascii="Arial" w:hAnsi="Arial" w:cs="Arial"/>
          <w:lang w:val="en-US"/>
        </w:rPr>
        <w:t xml:space="preserve"> </w:t>
      </w:r>
      <w:r w:rsidR="00105643">
        <w:rPr>
          <w:rFonts w:ascii="Arial" w:hAnsi="Arial" w:cs="Arial"/>
          <w:lang w:val="en-US"/>
        </w:rPr>
        <w:t>to meet</w:t>
      </w:r>
      <w:r w:rsidR="00105643" w:rsidRPr="00E9298A">
        <w:rPr>
          <w:rFonts w:ascii="Arial" w:hAnsi="Arial" w:cs="Arial"/>
          <w:lang w:val="en-US"/>
        </w:rPr>
        <w:t xml:space="preserve"> </w:t>
      </w:r>
      <w:r w:rsidRPr="00E9298A">
        <w:rPr>
          <w:rFonts w:ascii="Arial" w:hAnsi="Arial" w:cs="Arial"/>
          <w:lang w:val="en-US"/>
        </w:rPr>
        <w:t xml:space="preserve">the standard for the first year of study during the </w:t>
      </w:r>
      <w:r w:rsidR="00105643">
        <w:rPr>
          <w:rFonts w:ascii="Arial" w:hAnsi="Arial" w:cs="Arial"/>
          <w:lang w:val="en-US"/>
        </w:rPr>
        <w:t>subsequent</w:t>
      </w:r>
      <w:r w:rsidR="00105643" w:rsidRPr="00E9298A">
        <w:rPr>
          <w:rFonts w:ascii="Arial" w:hAnsi="Arial" w:cs="Arial"/>
          <w:lang w:val="en-US"/>
        </w:rPr>
        <w:t xml:space="preserve"> </w:t>
      </w:r>
      <w:r w:rsidRPr="00E9298A">
        <w:rPr>
          <w:rFonts w:ascii="Arial" w:hAnsi="Arial" w:cs="Arial"/>
          <w:lang w:val="en-US"/>
        </w:rPr>
        <w:t>year of enrolment.</w:t>
      </w:r>
    </w:p>
    <w:p w14:paraId="7BB2B86B" w14:textId="57A59026" w:rsidR="00E9298A" w:rsidRPr="00E9298A" w:rsidRDefault="00E44BBE" w:rsidP="00E44BBE">
      <w:pPr>
        <w:pStyle w:val="Lijstalinea"/>
        <w:numPr>
          <w:ilvl w:val="0"/>
          <w:numId w:val="3"/>
        </w:numPr>
        <w:spacing w:line="276" w:lineRule="auto"/>
        <w:rPr>
          <w:rFonts w:ascii="Arial" w:hAnsi="Arial" w:cs="Arial"/>
          <w:lang w:val="en-US"/>
        </w:rPr>
      </w:pPr>
      <w:r w:rsidRPr="00E44BBE">
        <w:rPr>
          <w:rFonts w:ascii="Arial" w:hAnsi="Arial" w:cs="Arial"/>
          <w:lang w:val="en-US"/>
        </w:rPr>
        <w:t xml:space="preserve">A binding negative study advice </w:t>
      </w:r>
      <w:r w:rsidR="00105643">
        <w:rPr>
          <w:rFonts w:ascii="Arial" w:hAnsi="Arial" w:cs="Arial"/>
          <w:lang w:val="en-US"/>
        </w:rPr>
        <w:t>entails</w:t>
      </w:r>
      <w:r>
        <w:rPr>
          <w:rFonts w:ascii="Arial" w:hAnsi="Arial" w:cs="Arial"/>
          <w:lang w:val="en-US"/>
        </w:rPr>
        <w:t xml:space="preserve"> that the student</w:t>
      </w:r>
      <w:r w:rsidRPr="00E44BBE">
        <w:rPr>
          <w:rFonts w:ascii="Arial" w:hAnsi="Arial" w:cs="Arial"/>
          <w:lang w:val="en-US"/>
        </w:rPr>
        <w:t xml:space="preserve"> concerned cannot </w:t>
      </w:r>
      <w:r w:rsidR="00930747" w:rsidRPr="00E44BBE">
        <w:rPr>
          <w:rFonts w:ascii="Arial" w:hAnsi="Arial" w:cs="Arial"/>
          <w:lang w:val="en-US"/>
        </w:rPr>
        <w:t>enroll</w:t>
      </w:r>
      <w:r w:rsidRPr="00E44BBE">
        <w:rPr>
          <w:rFonts w:ascii="Arial" w:hAnsi="Arial" w:cs="Arial"/>
          <w:lang w:val="en-US"/>
        </w:rPr>
        <w:t xml:space="preserve"> for the </w:t>
      </w:r>
      <w:proofErr w:type="spellStart"/>
      <w:r>
        <w:rPr>
          <w:rFonts w:ascii="Arial" w:hAnsi="Arial" w:cs="Arial"/>
          <w:lang w:val="en-US"/>
        </w:rPr>
        <w:t>programme</w:t>
      </w:r>
      <w:proofErr w:type="spellEnd"/>
      <w:r w:rsidRPr="00E44BBE">
        <w:rPr>
          <w:rFonts w:ascii="Arial" w:hAnsi="Arial" w:cs="Arial"/>
          <w:lang w:val="en-US"/>
        </w:rPr>
        <w:t xml:space="preserve">  the three following </w:t>
      </w:r>
      <w:r w:rsidR="00105643">
        <w:rPr>
          <w:rFonts w:ascii="Arial" w:hAnsi="Arial" w:cs="Arial"/>
          <w:lang w:val="en-US"/>
        </w:rPr>
        <w:t xml:space="preserve">academic </w:t>
      </w:r>
      <w:r w:rsidRPr="00E44BBE">
        <w:rPr>
          <w:rFonts w:ascii="Arial" w:hAnsi="Arial" w:cs="Arial"/>
          <w:lang w:val="en-US"/>
        </w:rPr>
        <w:t>year</w:t>
      </w:r>
      <w:r w:rsidR="00105643">
        <w:rPr>
          <w:rFonts w:ascii="Arial" w:hAnsi="Arial" w:cs="Arial"/>
          <w:lang w:val="en-US"/>
        </w:rPr>
        <w:t>s</w:t>
      </w:r>
      <w:r w:rsidRPr="00E44BBE">
        <w:rPr>
          <w:rFonts w:ascii="Arial" w:hAnsi="Arial" w:cs="Arial"/>
          <w:lang w:val="en-US"/>
        </w:rPr>
        <w:t>.</w:t>
      </w:r>
    </w:p>
    <w:p w14:paraId="1E27BB8D" w14:textId="4061BF60" w:rsidR="00B125BB" w:rsidRDefault="00B125BB" w:rsidP="00B125BB">
      <w:pPr>
        <w:spacing w:line="276" w:lineRule="auto"/>
        <w:rPr>
          <w:rFonts w:ascii="Arial" w:hAnsi="Arial" w:cs="Arial"/>
          <w:b/>
          <w:color w:val="44546A" w:themeColor="text2"/>
          <w:lang w:val="en-US"/>
        </w:rPr>
      </w:pPr>
    </w:p>
    <w:p w14:paraId="00F79514" w14:textId="77777777" w:rsidR="008732B1" w:rsidRDefault="008732B1" w:rsidP="00B125BB">
      <w:pPr>
        <w:spacing w:line="276" w:lineRule="auto"/>
        <w:rPr>
          <w:rFonts w:ascii="Arial" w:hAnsi="Arial" w:cs="Arial"/>
          <w:b/>
          <w:color w:val="44546A" w:themeColor="text2"/>
          <w:lang w:val="en-US"/>
        </w:rPr>
      </w:pPr>
    </w:p>
    <w:p w14:paraId="7552C39F" w14:textId="77777777" w:rsidR="00FE5CDA" w:rsidRDefault="00FE5CDA" w:rsidP="00FE5CDA">
      <w:pPr>
        <w:spacing w:line="276" w:lineRule="auto"/>
        <w:rPr>
          <w:rFonts w:ascii="Arial" w:hAnsi="Arial" w:cs="Arial"/>
          <w:b/>
          <w:color w:val="5B9BD5" w:themeColor="accent1"/>
          <w:lang w:val="en-US"/>
        </w:rPr>
      </w:pPr>
      <w:r>
        <w:rPr>
          <w:rFonts w:ascii="Arial" w:hAnsi="Arial" w:cs="Arial"/>
          <w:b/>
          <w:color w:val="5B9BD5" w:themeColor="accent1"/>
          <w:lang w:val="en-US"/>
        </w:rPr>
        <w:lastRenderedPageBreak/>
        <w:t>Article 3 Student guidance</w:t>
      </w:r>
    </w:p>
    <w:p w14:paraId="03279BD5" w14:textId="02FD17C3" w:rsidR="00FE5CDA" w:rsidRPr="00FE5CDA" w:rsidRDefault="00FE5CDA" w:rsidP="00FE5CDA">
      <w:pPr>
        <w:pStyle w:val="Lijstalinea"/>
        <w:numPr>
          <w:ilvl w:val="0"/>
          <w:numId w:val="4"/>
        </w:numPr>
        <w:spacing w:line="276" w:lineRule="auto"/>
        <w:ind w:left="426"/>
        <w:rPr>
          <w:rFonts w:ascii="Arial" w:hAnsi="Arial" w:cs="Arial"/>
          <w:b/>
          <w:color w:val="5B9BD5" w:themeColor="accent1"/>
          <w:lang w:val="en-US"/>
        </w:rPr>
      </w:pPr>
      <w:r w:rsidRPr="00FE5CDA">
        <w:rPr>
          <w:rFonts w:ascii="Arial" w:hAnsi="Arial" w:cs="Arial"/>
          <w:lang w:val="en-US"/>
        </w:rPr>
        <w:t xml:space="preserve">At the beginning of the academic year, the </w:t>
      </w:r>
      <w:r>
        <w:rPr>
          <w:rFonts w:ascii="Arial" w:hAnsi="Arial" w:cs="Arial"/>
          <w:lang w:val="en-US"/>
        </w:rPr>
        <w:t>academic</w:t>
      </w:r>
      <w:r w:rsidRPr="00FE5CDA">
        <w:rPr>
          <w:rFonts w:ascii="Arial" w:hAnsi="Arial" w:cs="Arial"/>
          <w:lang w:val="en-US"/>
        </w:rPr>
        <w:t xml:space="preserve"> advisors, on behalf of the Fa</w:t>
      </w:r>
      <w:r>
        <w:rPr>
          <w:rFonts w:ascii="Arial" w:hAnsi="Arial" w:cs="Arial"/>
          <w:lang w:val="en-US"/>
        </w:rPr>
        <w:t>culty Board</w:t>
      </w:r>
      <w:r w:rsidRPr="00FE5CDA">
        <w:rPr>
          <w:rFonts w:ascii="Arial" w:hAnsi="Arial" w:cs="Arial"/>
          <w:lang w:val="en-US"/>
        </w:rPr>
        <w:t xml:space="preserve">, will inform all students of the regulations concerning the study advice. The study advice itself, the final standard, the mentorship, the role of the </w:t>
      </w:r>
      <w:r>
        <w:rPr>
          <w:rFonts w:ascii="Arial" w:hAnsi="Arial" w:cs="Arial"/>
          <w:lang w:val="en-US"/>
        </w:rPr>
        <w:t>academic</w:t>
      </w:r>
      <w:r w:rsidRPr="00FE5CDA">
        <w:rPr>
          <w:rFonts w:ascii="Arial" w:hAnsi="Arial" w:cs="Arial"/>
          <w:lang w:val="en-US"/>
        </w:rPr>
        <w:t xml:space="preserve"> advisors and the </w:t>
      </w:r>
      <w:r w:rsidR="005A7027">
        <w:rPr>
          <w:rFonts w:ascii="Arial" w:hAnsi="Arial" w:cs="Arial"/>
          <w:lang w:val="en-US"/>
        </w:rPr>
        <w:t>bearing</w:t>
      </w:r>
      <w:r w:rsidR="005A7027" w:rsidRPr="00FE5CDA">
        <w:rPr>
          <w:rFonts w:ascii="Arial" w:hAnsi="Arial" w:cs="Arial"/>
          <w:lang w:val="en-US"/>
        </w:rPr>
        <w:t xml:space="preserve"> </w:t>
      </w:r>
      <w:r w:rsidRPr="00FE5CDA">
        <w:rPr>
          <w:rFonts w:ascii="Arial" w:hAnsi="Arial" w:cs="Arial"/>
          <w:lang w:val="en-US"/>
        </w:rPr>
        <w:t xml:space="preserve">of personal circumstances </w:t>
      </w:r>
      <w:r w:rsidR="005A7027">
        <w:rPr>
          <w:rFonts w:ascii="Arial" w:hAnsi="Arial" w:cs="Arial"/>
          <w:lang w:val="en-US"/>
        </w:rPr>
        <w:t>on</w:t>
      </w:r>
      <w:r w:rsidR="005A7027" w:rsidRPr="00FE5CDA">
        <w:rPr>
          <w:rFonts w:ascii="Arial" w:hAnsi="Arial" w:cs="Arial"/>
          <w:lang w:val="en-US"/>
        </w:rPr>
        <w:t xml:space="preserve"> </w:t>
      </w:r>
      <w:r w:rsidRPr="00FE5CDA">
        <w:rPr>
          <w:rFonts w:ascii="Arial" w:hAnsi="Arial" w:cs="Arial"/>
          <w:lang w:val="en-US"/>
        </w:rPr>
        <w:t xml:space="preserve">the study advice are explained. This BSA </w:t>
      </w:r>
      <w:r w:rsidR="004D3041">
        <w:rPr>
          <w:rFonts w:ascii="Arial" w:hAnsi="Arial" w:cs="Arial"/>
          <w:lang w:val="en-US"/>
        </w:rPr>
        <w:t>regulation can be found on VU.nl</w:t>
      </w:r>
      <w:r w:rsidRPr="00FE5CDA">
        <w:rPr>
          <w:rFonts w:ascii="Arial" w:hAnsi="Arial" w:cs="Arial"/>
          <w:lang w:val="en-US"/>
        </w:rPr>
        <w:t>.</w:t>
      </w:r>
    </w:p>
    <w:p w14:paraId="2191F19A" w14:textId="77777777" w:rsidR="003C5709" w:rsidRPr="003C5709" w:rsidRDefault="00FE5CDA" w:rsidP="00FE5CDA">
      <w:pPr>
        <w:pStyle w:val="Lijstalinea"/>
        <w:numPr>
          <w:ilvl w:val="0"/>
          <w:numId w:val="4"/>
        </w:numPr>
        <w:spacing w:line="276" w:lineRule="auto"/>
        <w:ind w:left="426"/>
        <w:rPr>
          <w:rFonts w:ascii="Arial" w:hAnsi="Arial" w:cs="Arial"/>
          <w:b/>
          <w:color w:val="5B9BD5" w:themeColor="accent1"/>
          <w:lang w:val="en-US"/>
        </w:rPr>
      </w:pPr>
      <w:r>
        <w:rPr>
          <w:rFonts w:ascii="Arial" w:hAnsi="Arial" w:cs="Arial"/>
          <w:lang w:val="en-US"/>
        </w:rPr>
        <w:t xml:space="preserve">In the first weeks of the </w:t>
      </w:r>
      <w:proofErr w:type="spellStart"/>
      <w:r>
        <w:rPr>
          <w:rFonts w:ascii="Arial" w:hAnsi="Arial" w:cs="Arial"/>
          <w:lang w:val="en-US"/>
        </w:rPr>
        <w:t>programme</w:t>
      </w:r>
      <w:proofErr w:type="spellEnd"/>
      <w:r w:rsidRPr="00FE5CDA">
        <w:rPr>
          <w:rFonts w:ascii="Arial" w:hAnsi="Arial" w:cs="Arial"/>
          <w:lang w:val="en-US"/>
        </w:rPr>
        <w:t xml:space="preserve">, each first-year student has a number of meetings under the supervision of a student mentor. The mentoring sessions are part of a course in period 1. The student mentor guides the students in the new study environment, offers help with study related questions and is able to refer the student to the right supervisors where necessary. </w:t>
      </w:r>
    </w:p>
    <w:p w14:paraId="76EE75C3" w14:textId="77777777" w:rsidR="003C5709" w:rsidRPr="003C5709" w:rsidRDefault="00FE5CDA" w:rsidP="00FE5CDA">
      <w:pPr>
        <w:pStyle w:val="Lijstalinea"/>
        <w:numPr>
          <w:ilvl w:val="0"/>
          <w:numId w:val="4"/>
        </w:numPr>
        <w:spacing w:line="276" w:lineRule="auto"/>
        <w:ind w:left="426"/>
        <w:rPr>
          <w:rFonts w:ascii="Arial" w:hAnsi="Arial" w:cs="Arial"/>
          <w:b/>
          <w:color w:val="5B9BD5" w:themeColor="accent1"/>
          <w:lang w:val="en-US"/>
        </w:rPr>
      </w:pPr>
      <w:r w:rsidRPr="003C5709">
        <w:rPr>
          <w:rFonts w:ascii="Arial" w:hAnsi="Arial" w:cs="Arial"/>
          <w:lang w:val="en-US"/>
        </w:rPr>
        <w:t xml:space="preserve">Every first year student is assigned a </w:t>
      </w:r>
      <w:r w:rsidR="003C5709">
        <w:rPr>
          <w:rFonts w:ascii="Arial" w:hAnsi="Arial" w:cs="Arial"/>
          <w:lang w:val="en-US"/>
        </w:rPr>
        <w:t>lecturer mentor</w:t>
      </w:r>
      <w:r w:rsidRPr="003C5709">
        <w:rPr>
          <w:rFonts w:ascii="Arial" w:hAnsi="Arial" w:cs="Arial"/>
          <w:lang w:val="en-US"/>
        </w:rPr>
        <w:t xml:space="preserve">. In the first year, the mentor will have at least one individual or group discussion with the students in his/her group. </w:t>
      </w:r>
    </w:p>
    <w:p w14:paraId="3528C25C" w14:textId="77777777" w:rsidR="003C5709" w:rsidRPr="003C5709" w:rsidRDefault="00FE5CDA" w:rsidP="00FE5CDA">
      <w:pPr>
        <w:pStyle w:val="Lijstalinea"/>
        <w:numPr>
          <w:ilvl w:val="0"/>
          <w:numId w:val="4"/>
        </w:numPr>
        <w:spacing w:line="276" w:lineRule="auto"/>
        <w:ind w:left="426"/>
        <w:rPr>
          <w:rFonts w:ascii="Arial" w:hAnsi="Arial" w:cs="Arial"/>
          <w:b/>
          <w:color w:val="5B9BD5" w:themeColor="accent1"/>
          <w:lang w:val="en-US"/>
        </w:rPr>
      </w:pPr>
      <w:r w:rsidRPr="003C5709">
        <w:rPr>
          <w:rFonts w:ascii="Arial" w:hAnsi="Arial" w:cs="Arial"/>
          <w:lang w:val="en-US"/>
        </w:rPr>
        <w:t>The student will receive:</w:t>
      </w:r>
    </w:p>
    <w:p w14:paraId="77B51B76" w14:textId="45BE53DF" w:rsidR="003C5709" w:rsidRPr="003C5709" w:rsidRDefault="005A7027" w:rsidP="00FE5CDA">
      <w:pPr>
        <w:pStyle w:val="Lijstalinea"/>
        <w:numPr>
          <w:ilvl w:val="1"/>
          <w:numId w:val="4"/>
        </w:numPr>
        <w:spacing w:line="276" w:lineRule="auto"/>
        <w:ind w:left="851"/>
        <w:rPr>
          <w:rFonts w:ascii="Arial" w:hAnsi="Arial" w:cs="Arial"/>
          <w:b/>
          <w:color w:val="5B9BD5" w:themeColor="accent1"/>
          <w:lang w:val="en-US"/>
        </w:rPr>
      </w:pPr>
      <w:r w:rsidRPr="003C5709">
        <w:rPr>
          <w:rFonts w:ascii="Arial" w:hAnsi="Arial" w:cs="Arial"/>
          <w:lang w:val="en-US"/>
        </w:rPr>
        <w:t xml:space="preserve">information about </w:t>
      </w:r>
      <w:r>
        <w:rPr>
          <w:rFonts w:ascii="Arial" w:hAnsi="Arial" w:cs="Arial"/>
          <w:lang w:val="en-US"/>
        </w:rPr>
        <w:t>thei</w:t>
      </w:r>
      <w:r w:rsidRPr="003C5709">
        <w:rPr>
          <w:rFonts w:ascii="Arial" w:hAnsi="Arial" w:cs="Arial"/>
          <w:lang w:val="en-US"/>
        </w:rPr>
        <w:t xml:space="preserve">r study progress </w:t>
      </w:r>
      <w:r>
        <w:rPr>
          <w:rFonts w:ascii="Arial" w:hAnsi="Arial" w:cs="Arial"/>
          <w:lang w:val="en-US"/>
        </w:rPr>
        <w:t xml:space="preserve">provided by </w:t>
      </w:r>
      <w:r w:rsidR="003C5709">
        <w:rPr>
          <w:rFonts w:ascii="Arial" w:hAnsi="Arial" w:cs="Arial"/>
          <w:lang w:val="en-US"/>
        </w:rPr>
        <w:t>the academic</w:t>
      </w:r>
      <w:r w:rsidR="00FE5CDA" w:rsidRPr="003C5709">
        <w:rPr>
          <w:rFonts w:ascii="Arial" w:hAnsi="Arial" w:cs="Arial"/>
          <w:lang w:val="en-US"/>
        </w:rPr>
        <w:t xml:space="preserve"> advisor </w:t>
      </w:r>
      <w:r>
        <w:rPr>
          <w:rFonts w:ascii="Arial" w:hAnsi="Arial" w:cs="Arial"/>
          <w:lang w:val="en-US"/>
        </w:rPr>
        <w:t>i</w:t>
      </w:r>
      <w:r w:rsidRPr="003C5709">
        <w:rPr>
          <w:rFonts w:ascii="Arial" w:hAnsi="Arial" w:cs="Arial"/>
          <w:lang w:val="en-US"/>
        </w:rPr>
        <w:t>n</w:t>
      </w:r>
      <w:r>
        <w:rPr>
          <w:rFonts w:ascii="Arial" w:hAnsi="Arial" w:cs="Arial"/>
          <w:lang w:val="en-US"/>
        </w:rPr>
        <w:t xml:space="preserve"> November and April</w:t>
      </w:r>
      <w:r w:rsidR="00FE5CDA" w:rsidRPr="003C5709">
        <w:rPr>
          <w:rFonts w:ascii="Arial" w:hAnsi="Arial" w:cs="Arial"/>
          <w:lang w:val="en-US"/>
        </w:rPr>
        <w:t>;</w:t>
      </w:r>
    </w:p>
    <w:p w14:paraId="79EB681D" w14:textId="77777777" w:rsidR="003C5709" w:rsidRPr="003C5709" w:rsidRDefault="00FE5CDA" w:rsidP="00FE5CDA">
      <w:pPr>
        <w:pStyle w:val="Lijstalinea"/>
        <w:numPr>
          <w:ilvl w:val="1"/>
          <w:numId w:val="4"/>
        </w:numPr>
        <w:spacing w:line="276" w:lineRule="auto"/>
        <w:ind w:left="851"/>
        <w:rPr>
          <w:rFonts w:ascii="Arial" w:hAnsi="Arial" w:cs="Arial"/>
          <w:b/>
          <w:color w:val="5B9BD5" w:themeColor="accent1"/>
          <w:lang w:val="en-US"/>
        </w:rPr>
      </w:pPr>
      <w:r w:rsidRPr="003C5709">
        <w:rPr>
          <w:rFonts w:ascii="Arial" w:hAnsi="Arial" w:cs="Arial"/>
          <w:lang w:val="en-US"/>
        </w:rPr>
        <w:t>a study progress letter from the BSA committee before 31 January;</w:t>
      </w:r>
    </w:p>
    <w:p w14:paraId="57061041" w14:textId="1EACDF81" w:rsidR="003C5709" w:rsidRPr="003C5709" w:rsidRDefault="00FE5CDA" w:rsidP="00FE5CDA">
      <w:pPr>
        <w:pStyle w:val="Lijstalinea"/>
        <w:numPr>
          <w:ilvl w:val="1"/>
          <w:numId w:val="4"/>
        </w:numPr>
        <w:spacing w:line="276" w:lineRule="auto"/>
        <w:ind w:left="851"/>
        <w:rPr>
          <w:rFonts w:ascii="Arial" w:hAnsi="Arial" w:cs="Arial"/>
          <w:b/>
          <w:color w:val="5B9BD5" w:themeColor="accent1"/>
          <w:lang w:val="en-US"/>
        </w:rPr>
      </w:pPr>
      <w:r w:rsidRPr="003C5709">
        <w:rPr>
          <w:rFonts w:ascii="Arial" w:hAnsi="Arial" w:cs="Arial"/>
          <w:lang w:val="en-US"/>
        </w:rPr>
        <w:t>the final binding study advice of the BSA committee</w:t>
      </w:r>
      <w:r w:rsidR="005A7027" w:rsidRPr="005A7027">
        <w:rPr>
          <w:rFonts w:ascii="Arial" w:hAnsi="Arial" w:cs="Arial"/>
          <w:lang w:val="en-US"/>
        </w:rPr>
        <w:t xml:space="preserve"> </w:t>
      </w:r>
      <w:r w:rsidR="005A7027" w:rsidRPr="003C5709">
        <w:rPr>
          <w:rFonts w:ascii="Arial" w:hAnsi="Arial" w:cs="Arial"/>
          <w:lang w:val="en-US"/>
        </w:rPr>
        <w:t>by 22 August at the latest</w:t>
      </w:r>
      <w:r w:rsidRPr="003C5709">
        <w:rPr>
          <w:rFonts w:ascii="Arial" w:hAnsi="Arial" w:cs="Arial"/>
          <w:lang w:val="en-US"/>
        </w:rPr>
        <w:t>.</w:t>
      </w:r>
    </w:p>
    <w:p w14:paraId="1EAA60DC" w14:textId="77777777" w:rsidR="003C5709" w:rsidRPr="003C5709" w:rsidRDefault="00FE5CDA" w:rsidP="00FE5CDA">
      <w:pPr>
        <w:pStyle w:val="Lijstalinea"/>
        <w:numPr>
          <w:ilvl w:val="0"/>
          <w:numId w:val="4"/>
        </w:numPr>
        <w:spacing w:line="276" w:lineRule="auto"/>
        <w:ind w:left="426"/>
        <w:rPr>
          <w:rFonts w:ascii="Arial" w:hAnsi="Arial" w:cs="Arial"/>
          <w:b/>
          <w:color w:val="5B9BD5" w:themeColor="accent1"/>
          <w:lang w:val="en-US"/>
        </w:rPr>
      </w:pPr>
      <w:r w:rsidRPr="003C5709">
        <w:rPr>
          <w:rFonts w:ascii="Arial" w:hAnsi="Arial" w:cs="Arial"/>
          <w:lang w:val="en-US"/>
        </w:rPr>
        <w:t>In November, January and April, students receive a green, orange or red study progress advice in accordance with section 4, paragraphs a and b. The Faculty Board has established the following standards for this purpose:</w:t>
      </w:r>
    </w:p>
    <w:p w14:paraId="0952AA32" w14:textId="77777777" w:rsidR="003C5709" w:rsidRPr="003C5709" w:rsidRDefault="00FE5CDA" w:rsidP="00FE5CDA">
      <w:pPr>
        <w:pStyle w:val="Lijstalinea"/>
        <w:numPr>
          <w:ilvl w:val="1"/>
          <w:numId w:val="4"/>
        </w:numPr>
        <w:spacing w:line="276" w:lineRule="auto"/>
        <w:ind w:left="851"/>
        <w:rPr>
          <w:rFonts w:ascii="Arial" w:hAnsi="Arial" w:cs="Arial"/>
          <w:b/>
          <w:color w:val="5B9BD5" w:themeColor="accent1"/>
          <w:lang w:val="en-US"/>
        </w:rPr>
      </w:pPr>
      <w:r w:rsidRPr="003C5709">
        <w:rPr>
          <w:rFonts w:ascii="Arial" w:hAnsi="Arial" w:cs="Arial"/>
          <w:lang w:val="en-US"/>
        </w:rPr>
        <w:t xml:space="preserve">November (12 EC maximum obtainable): green:12 EC, orange: 6 EC, red: 0 EC; </w:t>
      </w:r>
    </w:p>
    <w:p w14:paraId="43580493" w14:textId="77777777" w:rsidR="003C5709" w:rsidRPr="003C5709" w:rsidRDefault="00FE5CDA" w:rsidP="00FE5CDA">
      <w:pPr>
        <w:pStyle w:val="Lijstalinea"/>
        <w:numPr>
          <w:ilvl w:val="1"/>
          <w:numId w:val="4"/>
        </w:numPr>
        <w:spacing w:line="276" w:lineRule="auto"/>
        <w:ind w:left="851"/>
        <w:rPr>
          <w:rFonts w:ascii="Arial" w:hAnsi="Arial" w:cs="Arial"/>
          <w:b/>
          <w:color w:val="5B9BD5" w:themeColor="accent1"/>
          <w:lang w:val="en-US"/>
        </w:rPr>
      </w:pPr>
      <w:r w:rsidRPr="003C5709">
        <w:rPr>
          <w:rFonts w:ascii="Arial" w:hAnsi="Arial" w:cs="Arial"/>
          <w:lang w:val="en-US"/>
        </w:rPr>
        <w:t xml:space="preserve">January (24 EC maximum obtainable): green: 24 EC, orange: 12 or 18 EC, red: 0 or 6 EC; </w:t>
      </w:r>
    </w:p>
    <w:p w14:paraId="22B44F06" w14:textId="77777777" w:rsidR="003C5709" w:rsidRPr="003C5709" w:rsidRDefault="00FE5CDA" w:rsidP="00FE5CDA">
      <w:pPr>
        <w:pStyle w:val="Lijstalinea"/>
        <w:numPr>
          <w:ilvl w:val="1"/>
          <w:numId w:val="4"/>
        </w:numPr>
        <w:spacing w:line="276" w:lineRule="auto"/>
        <w:ind w:left="851"/>
        <w:rPr>
          <w:rFonts w:ascii="Arial" w:hAnsi="Arial" w:cs="Arial"/>
          <w:b/>
          <w:color w:val="5B9BD5" w:themeColor="accent1"/>
          <w:lang w:val="en-US"/>
        </w:rPr>
      </w:pPr>
      <w:r w:rsidRPr="003C5709">
        <w:rPr>
          <w:rFonts w:ascii="Arial" w:hAnsi="Arial" w:cs="Arial"/>
          <w:lang w:val="en-US"/>
        </w:rPr>
        <w:t>April (42</w:t>
      </w:r>
      <w:r w:rsidR="003C5709">
        <w:rPr>
          <w:rFonts w:ascii="Arial" w:hAnsi="Arial" w:cs="Arial"/>
          <w:lang w:val="en-US"/>
        </w:rPr>
        <w:t xml:space="preserve"> </w:t>
      </w:r>
      <w:r w:rsidRPr="003C5709">
        <w:rPr>
          <w:rFonts w:ascii="Arial" w:hAnsi="Arial" w:cs="Arial"/>
          <w:lang w:val="en-US"/>
        </w:rPr>
        <w:t>EC maximum obtainable): green: 42 EC, orange: 24, 30 or 36 EC, red: 0, 6, 12 or 18 EC.</w:t>
      </w:r>
    </w:p>
    <w:p w14:paraId="7A4867ED" w14:textId="018E172E" w:rsidR="003C5709" w:rsidRPr="003C5709" w:rsidRDefault="005A7027" w:rsidP="00FE5CDA">
      <w:pPr>
        <w:pStyle w:val="Lijstalinea"/>
        <w:numPr>
          <w:ilvl w:val="0"/>
          <w:numId w:val="4"/>
        </w:numPr>
        <w:spacing w:line="276" w:lineRule="auto"/>
        <w:ind w:left="426"/>
        <w:rPr>
          <w:rFonts w:ascii="Arial" w:hAnsi="Arial" w:cs="Arial"/>
          <w:b/>
          <w:color w:val="5B9BD5" w:themeColor="accent1"/>
          <w:lang w:val="en-US"/>
        </w:rPr>
      </w:pPr>
      <w:r>
        <w:rPr>
          <w:rFonts w:ascii="Arial" w:hAnsi="Arial" w:cs="Arial"/>
          <w:lang w:val="en-US"/>
        </w:rPr>
        <w:t>A</w:t>
      </w:r>
      <w:r w:rsidRPr="003C5709">
        <w:rPr>
          <w:rFonts w:ascii="Arial" w:hAnsi="Arial" w:cs="Arial"/>
          <w:lang w:val="en-US"/>
        </w:rPr>
        <w:t xml:space="preserve"> </w:t>
      </w:r>
      <w:r w:rsidR="00FE5CDA" w:rsidRPr="003C5709">
        <w:rPr>
          <w:rFonts w:ascii="Arial" w:hAnsi="Arial" w:cs="Arial"/>
          <w:lang w:val="en-US"/>
        </w:rPr>
        <w:t xml:space="preserve">student who performs </w:t>
      </w:r>
      <w:r>
        <w:rPr>
          <w:rFonts w:ascii="Arial" w:hAnsi="Arial" w:cs="Arial"/>
          <w:lang w:val="en-US"/>
        </w:rPr>
        <w:t>below</w:t>
      </w:r>
      <w:r w:rsidRPr="003C5709">
        <w:rPr>
          <w:rFonts w:ascii="Arial" w:hAnsi="Arial" w:cs="Arial"/>
          <w:lang w:val="en-US"/>
        </w:rPr>
        <w:t xml:space="preserve"> </w:t>
      </w:r>
      <w:r w:rsidR="00FE5CDA" w:rsidRPr="003C5709">
        <w:rPr>
          <w:rFonts w:ascii="Arial" w:hAnsi="Arial" w:cs="Arial"/>
          <w:lang w:val="en-US"/>
        </w:rPr>
        <w:t xml:space="preserve">the standard in November, January or April (orange or red advice), is strongly advised to </w:t>
      </w:r>
      <w:r>
        <w:rPr>
          <w:rFonts w:ascii="Arial" w:hAnsi="Arial" w:cs="Arial"/>
          <w:lang w:val="en-US"/>
        </w:rPr>
        <w:t>schedule</w:t>
      </w:r>
      <w:r w:rsidRPr="003C5709">
        <w:rPr>
          <w:rFonts w:ascii="Arial" w:hAnsi="Arial" w:cs="Arial"/>
          <w:lang w:val="en-US"/>
        </w:rPr>
        <w:t xml:space="preserve"> </w:t>
      </w:r>
      <w:r w:rsidR="00FE5CDA" w:rsidRPr="003C5709">
        <w:rPr>
          <w:rFonts w:ascii="Arial" w:hAnsi="Arial" w:cs="Arial"/>
          <w:lang w:val="en-US"/>
        </w:rPr>
        <w:t xml:space="preserve">an appointment with the </w:t>
      </w:r>
      <w:r w:rsidR="003C5709">
        <w:rPr>
          <w:rFonts w:ascii="Arial" w:hAnsi="Arial" w:cs="Arial"/>
          <w:lang w:val="en-US"/>
        </w:rPr>
        <w:t xml:space="preserve">academic </w:t>
      </w:r>
      <w:r w:rsidR="00FE5CDA" w:rsidRPr="003C5709">
        <w:rPr>
          <w:rFonts w:ascii="Arial" w:hAnsi="Arial" w:cs="Arial"/>
          <w:lang w:val="en-US"/>
        </w:rPr>
        <w:t xml:space="preserve">advisor </w:t>
      </w:r>
      <w:r w:rsidR="00B674C8">
        <w:rPr>
          <w:rFonts w:ascii="Arial" w:hAnsi="Arial" w:cs="Arial"/>
          <w:lang w:val="en-US"/>
        </w:rPr>
        <w:t>to discuss</w:t>
      </w:r>
      <w:r w:rsidR="00FE5CDA" w:rsidRPr="003C5709">
        <w:rPr>
          <w:rFonts w:ascii="Arial" w:hAnsi="Arial" w:cs="Arial"/>
          <w:lang w:val="en-US"/>
        </w:rPr>
        <w:t xml:space="preserve"> </w:t>
      </w:r>
      <w:r w:rsidR="00B674C8">
        <w:rPr>
          <w:rFonts w:ascii="Arial" w:hAnsi="Arial" w:cs="Arial"/>
          <w:lang w:val="en-US"/>
        </w:rPr>
        <w:t>thei</w:t>
      </w:r>
      <w:r w:rsidR="00FE5CDA" w:rsidRPr="003C5709">
        <w:rPr>
          <w:rFonts w:ascii="Arial" w:hAnsi="Arial" w:cs="Arial"/>
          <w:lang w:val="en-US"/>
        </w:rPr>
        <w:t xml:space="preserve">r progress. If necessary, the student will draw up a study plan in consultation with the </w:t>
      </w:r>
      <w:r w:rsidR="003C5709">
        <w:rPr>
          <w:rFonts w:ascii="Arial" w:hAnsi="Arial" w:cs="Arial"/>
          <w:lang w:val="en-US"/>
        </w:rPr>
        <w:t xml:space="preserve">academic </w:t>
      </w:r>
      <w:r w:rsidR="00FE5CDA" w:rsidRPr="003C5709">
        <w:rPr>
          <w:rFonts w:ascii="Arial" w:hAnsi="Arial" w:cs="Arial"/>
          <w:lang w:val="en-US"/>
        </w:rPr>
        <w:t>advisor.</w:t>
      </w:r>
    </w:p>
    <w:p w14:paraId="46C7EBA1" w14:textId="77777777" w:rsidR="00FE5CDA" w:rsidRPr="003C5709" w:rsidRDefault="00FE5CDA" w:rsidP="00FE5CDA">
      <w:pPr>
        <w:pStyle w:val="Lijstalinea"/>
        <w:numPr>
          <w:ilvl w:val="0"/>
          <w:numId w:val="4"/>
        </w:numPr>
        <w:spacing w:line="276" w:lineRule="auto"/>
        <w:ind w:left="426"/>
        <w:rPr>
          <w:rFonts w:ascii="Arial" w:hAnsi="Arial" w:cs="Arial"/>
          <w:b/>
          <w:color w:val="5B9BD5" w:themeColor="accent1"/>
          <w:lang w:val="en-US"/>
        </w:rPr>
      </w:pPr>
      <w:r w:rsidRPr="003C5709">
        <w:rPr>
          <w:rFonts w:ascii="Arial" w:hAnsi="Arial" w:cs="Arial"/>
          <w:lang w:val="en-US"/>
        </w:rPr>
        <w:t xml:space="preserve">The student who has obtained between 42 and 60 EC at the end of his/her first year of enrolment will receive a positive study advice. </w:t>
      </w:r>
    </w:p>
    <w:p w14:paraId="7EA75521" w14:textId="77777777" w:rsidR="00FE5CDA" w:rsidRPr="00FE5CDA" w:rsidRDefault="00FE5CDA" w:rsidP="00FE5CDA">
      <w:pPr>
        <w:spacing w:line="276" w:lineRule="auto"/>
        <w:rPr>
          <w:rFonts w:ascii="Arial" w:hAnsi="Arial" w:cs="Arial"/>
          <w:b/>
          <w:color w:val="44546A" w:themeColor="text2"/>
          <w:lang w:val="en-US"/>
        </w:rPr>
      </w:pPr>
    </w:p>
    <w:p w14:paraId="7479C46D" w14:textId="77777777" w:rsidR="00B125BB" w:rsidRDefault="00B125BB" w:rsidP="00B125BB">
      <w:pPr>
        <w:spacing w:line="276" w:lineRule="auto"/>
        <w:rPr>
          <w:rFonts w:ascii="Arial" w:hAnsi="Arial" w:cs="Arial"/>
          <w:b/>
          <w:color w:val="44546A" w:themeColor="text2"/>
          <w:lang w:val="en-US"/>
        </w:rPr>
      </w:pPr>
    </w:p>
    <w:p w14:paraId="7E718A19" w14:textId="77777777" w:rsidR="00B125BB" w:rsidRDefault="00B125BB" w:rsidP="00B125BB">
      <w:pPr>
        <w:spacing w:line="276" w:lineRule="auto"/>
        <w:rPr>
          <w:rFonts w:ascii="Arial" w:hAnsi="Arial" w:cs="Arial"/>
          <w:b/>
          <w:color w:val="44546A" w:themeColor="text2"/>
          <w:lang w:val="en-US"/>
        </w:rPr>
      </w:pPr>
    </w:p>
    <w:p w14:paraId="64CBCEB3" w14:textId="49537149" w:rsidR="00B125BB" w:rsidRDefault="00B125BB" w:rsidP="00B125BB">
      <w:pPr>
        <w:spacing w:line="276" w:lineRule="auto"/>
        <w:rPr>
          <w:rFonts w:ascii="Arial" w:hAnsi="Arial" w:cs="Arial"/>
          <w:b/>
          <w:color w:val="44546A" w:themeColor="text2"/>
          <w:lang w:val="en-US"/>
        </w:rPr>
      </w:pPr>
    </w:p>
    <w:p w14:paraId="212DE646" w14:textId="77777777" w:rsidR="00E44BBE" w:rsidRDefault="00E44BBE" w:rsidP="00B125BB">
      <w:pPr>
        <w:spacing w:line="276" w:lineRule="auto"/>
        <w:rPr>
          <w:rFonts w:ascii="Arial" w:hAnsi="Arial" w:cs="Arial"/>
          <w:b/>
          <w:color w:val="44546A" w:themeColor="text2"/>
          <w:lang w:val="en-US"/>
        </w:rPr>
      </w:pPr>
    </w:p>
    <w:p w14:paraId="79C59F56" w14:textId="3B5FA132" w:rsidR="00B125BB" w:rsidRDefault="00B125BB" w:rsidP="00B125BB">
      <w:pPr>
        <w:spacing w:line="276" w:lineRule="auto"/>
        <w:rPr>
          <w:rFonts w:ascii="Arial" w:hAnsi="Arial" w:cs="Arial"/>
          <w:b/>
          <w:color w:val="44546A" w:themeColor="text2"/>
          <w:lang w:val="en-US"/>
        </w:rPr>
      </w:pPr>
    </w:p>
    <w:p w14:paraId="5EB7D706" w14:textId="77777777" w:rsidR="008732B1" w:rsidRDefault="008732B1" w:rsidP="00B125BB">
      <w:pPr>
        <w:spacing w:line="276" w:lineRule="auto"/>
        <w:rPr>
          <w:rFonts w:ascii="Arial" w:hAnsi="Arial" w:cs="Arial"/>
          <w:b/>
          <w:color w:val="44546A" w:themeColor="text2"/>
          <w:lang w:val="en-US"/>
        </w:rPr>
      </w:pPr>
    </w:p>
    <w:p w14:paraId="2D7E9F2E" w14:textId="77777777" w:rsidR="003C5709" w:rsidRPr="003C5709" w:rsidRDefault="003C5709" w:rsidP="003C5709">
      <w:pPr>
        <w:spacing w:line="276" w:lineRule="auto"/>
        <w:rPr>
          <w:rFonts w:ascii="Arial" w:hAnsi="Arial" w:cs="Arial"/>
          <w:b/>
          <w:color w:val="5B9BD5" w:themeColor="accent1"/>
          <w:lang w:val="en-US"/>
        </w:rPr>
      </w:pPr>
      <w:r w:rsidRPr="003C5709">
        <w:rPr>
          <w:rFonts w:ascii="Arial" w:hAnsi="Arial" w:cs="Arial"/>
          <w:b/>
          <w:color w:val="5B9BD5" w:themeColor="accent1"/>
          <w:lang w:val="en-US"/>
        </w:rPr>
        <w:lastRenderedPageBreak/>
        <w:t>Article 4 Personal circumstances</w:t>
      </w:r>
    </w:p>
    <w:p w14:paraId="6DAD61C7" w14:textId="0AE71122" w:rsidR="003C5709" w:rsidRDefault="003C5709" w:rsidP="003C5709">
      <w:pPr>
        <w:pStyle w:val="Lijstalinea"/>
        <w:numPr>
          <w:ilvl w:val="0"/>
          <w:numId w:val="5"/>
        </w:numPr>
        <w:spacing w:line="276" w:lineRule="auto"/>
        <w:ind w:left="426"/>
        <w:rPr>
          <w:rFonts w:ascii="Arial" w:hAnsi="Arial" w:cs="Arial"/>
          <w:lang w:val="en-US"/>
        </w:rPr>
      </w:pPr>
      <w:r w:rsidRPr="003C5709">
        <w:rPr>
          <w:rFonts w:ascii="Arial" w:hAnsi="Arial" w:cs="Arial"/>
          <w:lang w:val="en-US"/>
        </w:rPr>
        <w:t xml:space="preserve">A student who expects his or her study progress to be delayed due to personal circumstances, as </w:t>
      </w:r>
      <w:r w:rsidR="00B674C8">
        <w:rPr>
          <w:rFonts w:ascii="Arial" w:hAnsi="Arial" w:cs="Arial"/>
          <w:lang w:val="en-US"/>
        </w:rPr>
        <w:t>specified</w:t>
      </w:r>
      <w:r w:rsidRPr="003C5709">
        <w:rPr>
          <w:rFonts w:ascii="Arial" w:hAnsi="Arial" w:cs="Arial"/>
          <w:lang w:val="en-US"/>
        </w:rPr>
        <w:t xml:space="preserve"> in Article 2.1 of the WHW Implementation Regulation, will contact the </w:t>
      </w:r>
      <w:r>
        <w:rPr>
          <w:rFonts w:ascii="Arial" w:hAnsi="Arial" w:cs="Arial"/>
          <w:lang w:val="en-US"/>
        </w:rPr>
        <w:t>academic</w:t>
      </w:r>
      <w:r w:rsidRPr="003C5709">
        <w:rPr>
          <w:rFonts w:ascii="Arial" w:hAnsi="Arial" w:cs="Arial"/>
          <w:lang w:val="en-US"/>
        </w:rPr>
        <w:t xml:space="preserve"> advisor as soon as possible, but at the latest within three months after the circumstance</w:t>
      </w:r>
      <w:r w:rsidR="00B674C8">
        <w:rPr>
          <w:rFonts w:ascii="Arial" w:hAnsi="Arial" w:cs="Arial"/>
          <w:lang w:val="en-US"/>
        </w:rPr>
        <w:t>s</w:t>
      </w:r>
      <w:r w:rsidRPr="003C5709">
        <w:rPr>
          <w:rFonts w:ascii="Arial" w:hAnsi="Arial" w:cs="Arial"/>
          <w:lang w:val="en-US"/>
        </w:rPr>
        <w:t xml:space="preserve"> ha</w:t>
      </w:r>
      <w:r w:rsidR="00B674C8">
        <w:rPr>
          <w:rFonts w:ascii="Arial" w:hAnsi="Arial" w:cs="Arial"/>
          <w:lang w:val="en-US"/>
        </w:rPr>
        <w:t>ve</w:t>
      </w:r>
      <w:r w:rsidRPr="003C5709">
        <w:rPr>
          <w:rFonts w:ascii="Arial" w:hAnsi="Arial" w:cs="Arial"/>
          <w:lang w:val="en-US"/>
        </w:rPr>
        <w:t xml:space="preserve"> arisen or ha</w:t>
      </w:r>
      <w:r w:rsidR="00B674C8">
        <w:rPr>
          <w:rFonts w:ascii="Arial" w:hAnsi="Arial" w:cs="Arial"/>
          <w:lang w:val="en-US"/>
        </w:rPr>
        <w:t>ve</w:t>
      </w:r>
      <w:r w:rsidRPr="003C5709">
        <w:rPr>
          <w:rFonts w:ascii="Arial" w:hAnsi="Arial" w:cs="Arial"/>
          <w:lang w:val="en-US"/>
        </w:rPr>
        <w:t xml:space="preserve"> become known. If possible, the report will be supported by documentary evidence. If applicable, the student must submit a request for postponement of the standard to the Faculty BSA Committee in June using</w:t>
      </w:r>
      <w:r w:rsidR="004D3041">
        <w:rPr>
          <w:rFonts w:ascii="Arial" w:hAnsi="Arial" w:cs="Arial"/>
          <w:lang w:val="en-US"/>
        </w:rPr>
        <w:t xml:space="preserve"> the available web form in VU.nl</w:t>
      </w:r>
      <w:r w:rsidRPr="003C5709">
        <w:rPr>
          <w:rFonts w:ascii="Arial" w:hAnsi="Arial" w:cs="Arial"/>
          <w:lang w:val="en-US"/>
        </w:rPr>
        <w:t xml:space="preserve">. </w:t>
      </w:r>
    </w:p>
    <w:p w14:paraId="2F8D06BB" w14:textId="0EC914FC" w:rsidR="003C5709" w:rsidRDefault="003C5709" w:rsidP="003C5709">
      <w:pPr>
        <w:pStyle w:val="Lijstalinea"/>
        <w:numPr>
          <w:ilvl w:val="0"/>
          <w:numId w:val="5"/>
        </w:numPr>
        <w:spacing w:line="276" w:lineRule="auto"/>
        <w:ind w:left="426"/>
        <w:rPr>
          <w:rFonts w:ascii="Arial" w:hAnsi="Arial" w:cs="Arial"/>
          <w:lang w:val="en-US"/>
        </w:rPr>
      </w:pPr>
      <w:r w:rsidRPr="003C5709">
        <w:rPr>
          <w:rFonts w:ascii="Arial" w:hAnsi="Arial" w:cs="Arial"/>
          <w:lang w:val="en-US"/>
        </w:rPr>
        <w:t xml:space="preserve">At the beginning of July, the BSA committee will </w:t>
      </w:r>
      <w:r w:rsidR="00B674C8">
        <w:rPr>
          <w:rFonts w:ascii="Arial" w:hAnsi="Arial" w:cs="Arial"/>
          <w:lang w:val="en-US"/>
        </w:rPr>
        <w:t>consider</w:t>
      </w:r>
      <w:r w:rsidRPr="003C5709">
        <w:rPr>
          <w:rFonts w:ascii="Arial" w:hAnsi="Arial" w:cs="Arial"/>
          <w:lang w:val="en-US"/>
        </w:rPr>
        <w:t xml:space="preserve"> the requests of students who have requested the postponement of the binding study advice. The BSA committee checks with the </w:t>
      </w:r>
      <w:r>
        <w:rPr>
          <w:rFonts w:ascii="Arial" w:hAnsi="Arial" w:cs="Arial"/>
          <w:lang w:val="en-US"/>
        </w:rPr>
        <w:t xml:space="preserve">academic </w:t>
      </w:r>
      <w:r w:rsidRPr="003C5709">
        <w:rPr>
          <w:rFonts w:ascii="Arial" w:hAnsi="Arial" w:cs="Arial"/>
          <w:lang w:val="en-US"/>
        </w:rPr>
        <w:t>advisor whether the indicated circumstances are known</w:t>
      </w:r>
      <w:r w:rsidR="00B674C8">
        <w:rPr>
          <w:rFonts w:ascii="Arial" w:hAnsi="Arial" w:cs="Arial"/>
          <w:lang w:val="en-US"/>
        </w:rPr>
        <w:t>,</w:t>
      </w:r>
      <w:r w:rsidRPr="003C5709">
        <w:rPr>
          <w:rFonts w:ascii="Arial" w:hAnsi="Arial" w:cs="Arial"/>
          <w:lang w:val="en-US"/>
        </w:rPr>
        <w:t xml:space="preserve"> and assesses whether the circumstances fit in the category 'personal circumstances', as described in the implementing regulations. The BSA committee weighs up the nature and severity of the personal circumstances.  If the committee </w:t>
      </w:r>
      <w:r w:rsidR="00E44BBE" w:rsidRPr="003C5709">
        <w:rPr>
          <w:rFonts w:ascii="Arial" w:hAnsi="Arial" w:cs="Arial"/>
          <w:lang w:val="en-US"/>
        </w:rPr>
        <w:t>honors</w:t>
      </w:r>
      <w:r w:rsidRPr="003C5709">
        <w:rPr>
          <w:rFonts w:ascii="Arial" w:hAnsi="Arial" w:cs="Arial"/>
          <w:lang w:val="en-US"/>
        </w:rPr>
        <w:t xml:space="preserve"> the student's request, the student will not receive an intended decision as referred to in Article 5, paragraph 1, but will receive </w:t>
      </w:r>
      <w:r w:rsidR="00A56172">
        <w:rPr>
          <w:rFonts w:ascii="Arial" w:hAnsi="Arial" w:cs="Arial"/>
          <w:lang w:val="en-US"/>
        </w:rPr>
        <w:t xml:space="preserve">instead </w:t>
      </w:r>
      <w:r w:rsidRPr="003C5709">
        <w:rPr>
          <w:rFonts w:ascii="Arial" w:hAnsi="Arial" w:cs="Arial"/>
          <w:lang w:val="en-US"/>
        </w:rPr>
        <w:t>a so-called postponement letter.</w:t>
      </w:r>
    </w:p>
    <w:p w14:paraId="5047FC17" w14:textId="53B4C30B" w:rsidR="003C5709" w:rsidRPr="003C5709" w:rsidRDefault="00A56172" w:rsidP="003C5709">
      <w:pPr>
        <w:pStyle w:val="Lijstalinea"/>
        <w:numPr>
          <w:ilvl w:val="0"/>
          <w:numId w:val="5"/>
        </w:numPr>
        <w:spacing w:line="276" w:lineRule="auto"/>
        <w:ind w:left="426"/>
        <w:rPr>
          <w:rFonts w:ascii="Arial" w:hAnsi="Arial" w:cs="Arial"/>
          <w:lang w:val="en-US"/>
        </w:rPr>
      </w:pPr>
      <w:r>
        <w:rPr>
          <w:rFonts w:ascii="Arial" w:hAnsi="Arial" w:cs="Arial"/>
          <w:lang w:val="en-US"/>
        </w:rPr>
        <w:t>P</w:t>
      </w:r>
      <w:r w:rsidR="003C5709" w:rsidRPr="003C5709">
        <w:rPr>
          <w:rFonts w:ascii="Arial" w:hAnsi="Arial" w:cs="Arial"/>
          <w:lang w:val="en-US"/>
        </w:rPr>
        <w:t>ersonal circumstances which</w:t>
      </w:r>
      <w:r>
        <w:rPr>
          <w:rFonts w:ascii="Arial" w:hAnsi="Arial" w:cs="Arial"/>
          <w:lang w:val="en-US"/>
        </w:rPr>
        <w:t xml:space="preserve"> the student did not report</w:t>
      </w:r>
      <w:r w:rsidR="003C5709" w:rsidRPr="003C5709">
        <w:rPr>
          <w:rFonts w:ascii="Arial" w:hAnsi="Arial" w:cs="Arial"/>
          <w:lang w:val="en-US"/>
        </w:rPr>
        <w:t xml:space="preserve"> before 1 July</w:t>
      </w:r>
      <w:r>
        <w:rPr>
          <w:rFonts w:ascii="Arial" w:hAnsi="Arial" w:cs="Arial"/>
          <w:lang w:val="en-US"/>
        </w:rPr>
        <w:t xml:space="preserve"> can only be submitted</w:t>
      </w:r>
      <w:r w:rsidR="003C5709" w:rsidRPr="003C5709">
        <w:rPr>
          <w:rFonts w:ascii="Arial" w:hAnsi="Arial" w:cs="Arial"/>
          <w:lang w:val="en-US"/>
        </w:rPr>
        <w:t xml:space="preserve"> during the hearing, as referred to in Article 5, Paragraph 2. </w:t>
      </w:r>
    </w:p>
    <w:p w14:paraId="749ED51F" w14:textId="77777777" w:rsidR="00B125BB" w:rsidRDefault="00B125BB" w:rsidP="00B125BB">
      <w:pPr>
        <w:spacing w:line="276" w:lineRule="auto"/>
        <w:rPr>
          <w:rFonts w:ascii="Arial" w:hAnsi="Arial" w:cs="Arial"/>
          <w:b/>
          <w:color w:val="44546A" w:themeColor="text2"/>
          <w:lang w:val="en-US"/>
        </w:rPr>
      </w:pPr>
    </w:p>
    <w:p w14:paraId="0C62ED24" w14:textId="29A3C12A" w:rsidR="003C5709" w:rsidRPr="003C5709" w:rsidRDefault="003C5709" w:rsidP="003C5709">
      <w:pPr>
        <w:spacing w:line="276" w:lineRule="auto"/>
        <w:rPr>
          <w:rFonts w:ascii="Arial" w:hAnsi="Arial" w:cs="Arial"/>
          <w:b/>
          <w:color w:val="5B9BD5" w:themeColor="accent1"/>
          <w:lang w:val="en-US"/>
        </w:rPr>
      </w:pPr>
      <w:r w:rsidRPr="003C5709">
        <w:rPr>
          <w:rFonts w:ascii="Arial" w:hAnsi="Arial" w:cs="Arial"/>
          <w:b/>
          <w:color w:val="5B9BD5" w:themeColor="accent1"/>
          <w:lang w:val="en-US"/>
        </w:rPr>
        <w:t xml:space="preserve">Article 5 </w:t>
      </w:r>
      <w:r w:rsidR="00930747">
        <w:rPr>
          <w:rFonts w:ascii="Arial" w:hAnsi="Arial" w:cs="Arial"/>
          <w:b/>
          <w:color w:val="5B9BD5" w:themeColor="accent1"/>
          <w:lang w:val="en-US"/>
        </w:rPr>
        <w:t>Determining</w:t>
      </w:r>
      <w:r w:rsidRPr="003C5709">
        <w:rPr>
          <w:rFonts w:ascii="Arial" w:hAnsi="Arial" w:cs="Arial"/>
          <w:b/>
          <w:color w:val="5B9BD5" w:themeColor="accent1"/>
          <w:lang w:val="en-US"/>
        </w:rPr>
        <w:t xml:space="preserve"> study advice</w:t>
      </w:r>
    </w:p>
    <w:p w14:paraId="4A3040B0" w14:textId="703DE28B" w:rsidR="003C5709" w:rsidRDefault="003C5709" w:rsidP="003C5709">
      <w:pPr>
        <w:pStyle w:val="Lijstalinea"/>
        <w:numPr>
          <w:ilvl w:val="0"/>
          <w:numId w:val="6"/>
        </w:numPr>
        <w:spacing w:line="276" w:lineRule="auto"/>
        <w:ind w:left="426"/>
        <w:rPr>
          <w:rFonts w:ascii="Arial" w:hAnsi="Arial" w:cs="Arial"/>
          <w:lang w:val="en-US"/>
        </w:rPr>
      </w:pPr>
      <w:r w:rsidRPr="003C5709">
        <w:rPr>
          <w:rFonts w:ascii="Arial" w:hAnsi="Arial" w:cs="Arial"/>
          <w:lang w:val="en-US"/>
        </w:rPr>
        <w:t xml:space="preserve">If a student is eligible for a binding negative recommendation, the BSA committee will send </w:t>
      </w:r>
      <w:r w:rsidR="00EB00C9">
        <w:rPr>
          <w:rFonts w:ascii="Arial" w:hAnsi="Arial" w:cs="Arial"/>
          <w:lang w:val="en-US"/>
        </w:rPr>
        <w:t>them</w:t>
      </w:r>
      <w:r w:rsidRPr="003C5709">
        <w:rPr>
          <w:rFonts w:ascii="Arial" w:hAnsi="Arial" w:cs="Arial"/>
          <w:lang w:val="en-US"/>
        </w:rPr>
        <w:t xml:space="preserve"> the proposed negative binding recommendation by 31 July at the latest. </w:t>
      </w:r>
      <w:r w:rsidR="00EB00C9">
        <w:rPr>
          <w:rFonts w:ascii="Arial" w:hAnsi="Arial" w:cs="Arial"/>
          <w:lang w:val="en-US"/>
        </w:rPr>
        <w:t>I</w:t>
      </w:r>
      <w:r w:rsidR="00EB00C9" w:rsidRPr="003C5709">
        <w:rPr>
          <w:rFonts w:ascii="Arial" w:hAnsi="Arial" w:cs="Arial"/>
          <w:lang w:val="en-US"/>
        </w:rPr>
        <w:t>f there are factual errors in the determination of the intended decision</w:t>
      </w:r>
      <w:r w:rsidR="00EB00C9">
        <w:rPr>
          <w:rFonts w:ascii="Arial" w:hAnsi="Arial" w:cs="Arial"/>
          <w:lang w:val="en-US"/>
        </w:rPr>
        <w:t>,</w:t>
      </w:r>
      <w:r w:rsidR="00EB00C9" w:rsidRPr="003C5709">
        <w:rPr>
          <w:rFonts w:ascii="Arial" w:hAnsi="Arial" w:cs="Arial"/>
          <w:lang w:val="en-US"/>
        </w:rPr>
        <w:t xml:space="preserve"> </w:t>
      </w:r>
      <w:r w:rsidR="00EB00C9">
        <w:rPr>
          <w:rFonts w:ascii="Arial" w:hAnsi="Arial" w:cs="Arial"/>
          <w:lang w:val="en-US"/>
        </w:rPr>
        <w:t>t</w:t>
      </w:r>
      <w:r w:rsidRPr="003C5709">
        <w:rPr>
          <w:rFonts w:ascii="Arial" w:hAnsi="Arial" w:cs="Arial"/>
          <w:lang w:val="en-US"/>
        </w:rPr>
        <w:t xml:space="preserve">he student will have the opportunity to contact the BSA committee within 14 days after the date of the decision </w:t>
      </w:r>
      <w:r w:rsidR="00EB00C9">
        <w:rPr>
          <w:rFonts w:ascii="Arial" w:hAnsi="Arial" w:cs="Arial"/>
          <w:lang w:val="en-US"/>
        </w:rPr>
        <w:t>via</w:t>
      </w:r>
      <w:r w:rsidRPr="003C5709">
        <w:rPr>
          <w:rFonts w:ascii="Arial" w:hAnsi="Arial" w:cs="Arial"/>
          <w:lang w:val="en-US"/>
        </w:rPr>
        <w:t xml:space="preserve"> the </w:t>
      </w:r>
      <w:r w:rsidR="00EB00C9">
        <w:rPr>
          <w:rFonts w:ascii="Arial" w:hAnsi="Arial" w:cs="Arial"/>
          <w:lang w:val="en-US"/>
        </w:rPr>
        <w:t xml:space="preserve">relevant </w:t>
      </w:r>
      <w:r w:rsidR="004D3041">
        <w:rPr>
          <w:rFonts w:ascii="Arial" w:hAnsi="Arial" w:cs="Arial"/>
          <w:lang w:val="en-US"/>
        </w:rPr>
        <w:t>web form on VU.nl</w:t>
      </w:r>
      <w:r w:rsidRPr="003C5709">
        <w:rPr>
          <w:rFonts w:ascii="Arial" w:hAnsi="Arial" w:cs="Arial"/>
          <w:lang w:val="en-US"/>
        </w:rPr>
        <w:t>.</w:t>
      </w:r>
    </w:p>
    <w:p w14:paraId="382E8C22" w14:textId="349559E0" w:rsidR="00120603" w:rsidRDefault="00EB00C9" w:rsidP="003C5709">
      <w:pPr>
        <w:pStyle w:val="Lijstalinea"/>
        <w:numPr>
          <w:ilvl w:val="0"/>
          <w:numId w:val="6"/>
        </w:numPr>
        <w:spacing w:line="276" w:lineRule="auto"/>
        <w:ind w:left="426"/>
        <w:rPr>
          <w:rFonts w:ascii="Arial" w:hAnsi="Arial" w:cs="Arial"/>
          <w:lang w:val="en-US"/>
        </w:rPr>
      </w:pPr>
      <w:r>
        <w:rPr>
          <w:rFonts w:ascii="Arial" w:hAnsi="Arial" w:cs="Arial"/>
          <w:lang w:val="en-US"/>
        </w:rPr>
        <w:t>A</w:t>
      </w:r>
      <w:r w:rsidRPr="003C5709">
        <w:rPr>
          <w:rFonts w:ascii="Arial" w:hAnsi="Arial" w:cs="Arial"/>
          <w:lang w:val="en-US"/>
        </w:rPr>
        <w:t xml:space="preserve"> </w:t>
      </w:r>
      <w:r w:rsidR="003C5709" w:rsidRPr="003C5709">
        <w:rPr>
          <w:rFonts w:ascii="Arial" w:hAnsi="Arial" w:cs="Arial"/>
          <w:lang w:val="en-US"/>
        </w:rPr>
        <w:t>student who receives a negative binding study advice is given the opportunity to be heard by the BSA committee. The student can register for a h</w:t>
      </w:r>
      <w:r w:rsidR="004D3041">
        <w:rPr>
          <w:rFonts w:ascii="Arial" w:hAnsi="Arial" w:cs="Arial"/>
          <w:lang w:val="en-US"/>
        </w:rPr>
        <w:t>earing via the web form in VU.nl</w:t>
      </w:r>
      <w:r w:rsidR="003C5709" w:rsidRPr="003C5709">
        <w:rPr>
          <w:rFonts w:ascii="Arial" w:hAnsi="Arial" w:cs="Arial"/>
          <w:lang w:val="en-US"/>
        </w:rPr>
        <w:t xml:space="preserve"> within 14 days after receipt of the proposed negative decision.</w:t>
      </w:r>
    </w:p>
    <w:p w14:paraId="6CC2D947" w14:textId="77777777" w:rsidR="003C5709" w:rsidRPr="00120603" w:rsidRDefault="003C5709" w:rsidP="003C5709">
      <w:pPr>
        <w:pStyle w:val="Lijstalinea"/>
        <w:numPr>
          <w:ilvl w:val="0"/>
          <w:numId w:val="6"/>
        </w:numPr>
        <w:spacing w:line="276" w:lineRule="auto"/>
        <w:ind w:left="426"/>
        <w:rPr>
          <w:rFonts w:ascii="Arial" w:hAnsi="Arial" w:cs="Arial"/>
          <w:lang w:val="en-US"/>
        </w:rPr>
      </w:pPr>
      <w:r w:rsidRPr="00120603">
        <w:rPr>
          <w:rFonts w:ascii="Arial" w:hAnsi="Arial" w:cs="Arial"/>
          <w:lang w:val="en-US"/>
        </w:rPr>
        <w:t>The BSA committee will send the final decision to the student in writing within 14 days after the hearing, but no later than 22 August.</w:t>
      </w:r>
    </w:p>
    <w:p w14:paraId="0A166C56" w14:textId="77777777" w:rsidR="003C5709" w:rsidRPr="003C5709" w:rsidRDefault="003C5709" w:rsidP="003C5709">
      <w:pPr>
        <w:spacing w:line="276" w:lineRule="auto"/>
        <w:rPr>
          <w:rFonts w:ascii="Arial" w:hAnsi="Arial" w:cs="Arial"/>
          <w:lang w:val="en-US"/>
        </w:rPr>
      </w:pPr>
    </w:p>
    <w:p w14:paraId="1946D651" w14:textId="77777777" w:rsidR="003C5709" w:rsidRPr="00120603" w:rsidRDefault="003C5709" w:rsidP="003C5709">
      <w:pPr>
        <w:spacing w:line="276" w:lineRule="auto"/>
        <w:rPr>
          <w:rFonts w:ascii="Arial" w:hAnsi="Arial" w:cs="Arial"/>
          <w:b/>
          <w:color w:val="5B9BD5" w:themeColor="accent1"/>
          <w:lang w:val="en-US"/>
        </w:rPr>
      </w:pPr>
      <w:r w:rsidRPr="00120603">
        <w:rPr>
          <w:rFonts w:ascii="Arial" w:hAnsi="Arial" w:cs="Arial"/>
          <w:b/>
          <w:color w:val="5B9BD5" w:themeColor="accent1"/>
          <w:lang w:val="en-US"/>
        </w:rPr>
        <w:t>Article 6 Appeals against study advice</w:t>
      </w:r>
    </w:p>
    <w:p w14:paraId="4D98A84F" w14:textId="1311C324" w:rsidR="00B125BB" w:rsidRPr="003C5709" w:rsidRDefault="003C5709" w:rsidP="003C5709">
      <w:pPr>
        <w:spacing w:line="276" w:lineRule="auto"/>
        <w:rPr>
          <w:rFonts w:ascii="Arial" w:hAnsi="Arial" w:cs="Arial"/>
          <w:lang w:val="en-US"/>
        </w:rPr>
      </w:pPr>
      <w:r w:rsidRPr="003C5709">
        <w:rPr>
          <w:rFonts w:ascii="Arial" w:hAnsi="Arial" w:cs="Arial"/>
          <w:lang w:val="en-US"/>
        </w:rPr>
        <w:t>Within six weeks after the announcement of the negative binding study advice, the student may lodge an appeal with the</w:t>
      </w:r>
      <w:r w:rsidR="00930747">
        <w:rPr>
          <w:rFonts w:ascii="Arial" w:hAnsi="Arial" w:cs="Arial"/>
          <w:lang w:val="en-US"/>
        </w:rPr>
        <w:t xml:space="preserve"> Examination Appeals Board</w:t>
      </w:r>
      <w:r w:rsidRPr="003C5709">
        <w:rPr>
          <w:rFonts w:ascii="Arial" w:hAnsi="Arial" w:cs="Arial"/>
          <w:lang w:val="en-US"/>
        </w:rPr>
        <w:t>, accompanied by a sound motivation.</w:t>
      </w:r>
    </w:p>
    <w:p w14:paraId="747DB217" w14:textId="77777777" w:rsidR="00B125BB" w:rsidRDefault="00B125BB" w:rsidP="00B125BB">
      <w:pPr>
        <w:spacing w:line="276" w:lineRule="auto"/>
        <w:rPr>
          <w:rFonts w:ascii="Arial" w:hAnsi="Arial" w:cs="Arial"/>
          <w:b/>
          <w:color w:val="44546A" w:themeColor="text2"/>
          <w:lang w:val="en-US"/>
        </w:rPr>
      </w:pPr>
    </w:p>
    <w:p w14:paraId="152622EE" w14:textId="77777777" w:rsidR="00B125BB" w:rsidRDefault="00B125BB" w:rsidP="00B125BB">
      <w:pPr>
        <w:spacing w:line="276" w:lineRule="auto"/>
        <w:rPr>
          <w:rFonts w:ascii="Arial" w:hAnsi="Arial" w:cs="Arial"/>
          <w:b/>
          <w:color w:val="44546A" w:themeColor="text2"/>
          <w:lang w:val="en-US"/>
        </w:rPr>
      </w:pPr>
    </w:p>
    <w:p w14:paraId="7316C0A0" w14:textId="77777777" w:rsidR="00B125BB" w:rsidRDefault="00B125BB" w:rsidP="00B125BB">
      <w:pPr>
        <w:spacing w:line="276" w:lineRule="auto"/>
        <w:rPr>
          <w:rFonts w:ascii="Arial" w:hAnsi="Arial" w:cs="Arial"/>
          <w:b/>
          <w:color w:val="44546A" w:themeColor="text2"/>
          <w:lang w:val="en-US"/>
        </w:rPr>
      </w:pPr>
    </w:p>
    <w:p w14:paraId="4AE8B4DB" w14:textId="77777777" w:rsidR="00B125BB" w:rsidRDefault="00B125BB" w:rsidP="00B125BB">
      <w:pPr>
        <w:spacing w:line="276" w:lineRule="auto"/>
        <w:rPr>
          <w:rFonts w:ascii="Arial" w:hAnsi="Arial" w:cs="Arial"/>
          <w:b/>
          <w:color w:val="44546A" w:themeColor="text2"/>
          <w:lang w:val="en-US"/>
        </w:rPr>
      </w:pPr>
    </w:p>
    <w:p w14:paraId="5C6F23C7" w14:textId="77777777" w:rsidR="00B125BB" w:rsidRDefault="00B125BB" w:rsidP="00B125BB">
      <w:pPr>
        <w:spacing w:line="276" w:lineRule="auto"/>
        <w:rPr>
          <w:rFonts w:ascii="Arial" w:hAnsi="Arial" w:cs="Arial"/>
          <w:b/>
          <w:color w:val="44546A" w:themeColor="text2"/>
          <w:lang w:val="en-US"/>
        </w:rPr>
      </w:pPr>
    </w:p>
    <w:p w14:paraId="43653A3C" w14:textId="77777777" w:rsidR="004D3041" w:rsidRDefault="004D3041">
      <w:pPr>
        <w:spacing w:after="160" w:line="259" w:lineRule="auto"/>
        <w:rPr>
          <w:rFonts w:ascii="Arial" w:hAnsi="Arial" w:cs="Arial"/>
          <w:b/>
          <w:lang w:val="en-US"/>
        </w:rPr>
      </w:pPr>
      <w:r>
        <w:rPr>
          <w:rFonts w:ascii="Arial" w:hAnsi="Arial" w:cs="Arial"/>
          <w:b/>
          <w:lang w:val="en-US"/>
        </w:rPr>
        <w:br w:type="page"/>
      </w:r>
    </w:p>
    <w:p w14:paraId="2EBC6A8D" w14:textId="1A68D94E" w:rsidR="00120603" w:rsidRPr="00120603" w:rsidRDefault="00930747" w:rsidP="00120603">
      <w:pPr>
        <w:spacing w:line="276" w:lineRule="auto"/>
        <w:rPr>
          <w:rFonts w:ascii="Arial" w:hAnsi="Arial" w:cs="Arial"/>
          <w:b/>
          <w:lang w:val="en-US"/>
        </w:rPr>
      </w:pPr>
      <w:bookmarkStart w:id="0" w:name="_GoBack"/>
      <w:bookmarkEnd w:id="0"/>
      <w:r>
        <w:rPr>
          <w:rFonts w:ascii="Arial" w:hAnsi="Arial" w:cs="Arial"/>
          <w:b/>
          <w:lang w:val="en-US"/>
        </w:rPr>
        <w:lastRenderedPageBreak/>
        <w:t xml:space="preserve">Appendix </w:t>
      </w:r>
      <w:r w:rsidR="00120603" w:rsidRPr="00120603">
        <w:rPr>
          <w:rFonts w:ascii="Arial" w:hAnsi="Arial" w:cs="Arial"/>
          <w:b/>
          <w:lang w:val="en-US"/>
        </w:rPr>
        <w:t>1</w:t>
      </w:r>
    </w:p>
    <w:p w14:paraId="0D507439" w14:textId="77777777" w:rsidR="00120603" w:rsidRPr="00120603" w:rsidRDefault="00120603" w:rsidP="00120603">
      <w:pPr>
        <w:spacing w:line="276" w:lineRule="auto"/>
        <w:rPr>
          <w:rFonts w:ascii="Arial" w:hAnsi="Arial" w:cs="Arial"/>
          <w:lang w:val="en-US"/>
        </w:rPr>
      </w:pPr>
    </w:p>
    <w:p w14:paraId="62876FBE" w14:textId="77777777" w:rsidR="00120603" w:rsidRPr="00120603" w:rsidRDefault="00120603" w:rsidP="00120603">
      <w:pPr>
        <w:spacing w:line="276" w:lineRule="auto"/>
        <w:rPr>
          <w:rFonts w:ascii="Arial" w:hAnsi="Arial" w:cs="Arial"/>
          <w:lang w:val="en-US"/>
        </w:rPr>
      </w:pPr>
      <w:r w:rsidRPr="00120603">
        <w:rPr>
          <w:rFonts w:ascii="Arial" w:hAnsi="Arial" w:cs="Arial"/>
          <w:lang w:val="en-US"/>
        </w:rPr>
        <w:t xml:space="preserve">Article 2.1. Implementation regulation 2008 - Personal circumstances in the event of binding study advice and reference to a </w:t>
      </w:r>
      <w:r w:rsidR="00E40FB8" w:rsidRPr="00120603">
        <w:rPr>
          <w:rFonts w:ascii="Arial" w:hAnsi="Arial" w:cs="Arial"/>
          <w:lang w:val="en-US"/>
        </w:rPr>
        <w:t>specialization</w:t>
      </w:r>
      <w:r w:rsidRPr="00120603">
        <w:rPr>
          <w:rFonts w:ascii="Arial" w:hAnsi="Arial" w:cs="Arial"/>
          <w:lang w:val="en-US"/>
        </w:rPr>
        <w:t xml:space="preserve"> in the field of study</w:t>
      </w:r>
    </w:p>
    <w:p w14:paraId="00D6BF58" w14:textId="77777777" w:rsidR="00120603" w:rsidRPr="00120603" w:rsidRDefault="00120603" w:rsidP="00120603">
      <w:pPr>
        <w:spacing w:line="276" w:lineRule="auto"/>
        <w:rPr>
          <w:rFonts w:ascii="Arial" w:hAnsi="Arial" w:cs="Arial"/>
          <w:lang w:val="en-US"/>
        </w:rPr>
      </w:pPr>
      <w:r w:rsidRPr="00120603">
        <w:rPr>
          <w:rFonts w:ascii="Arial" w:hAnsi="Arial" w:cs="Arial"/>
          <w:lang w:val="en-US"/>
        </w:rPr>
        <w:t xml:space="preserve">Higher Education and Scientific Research Act </w:t>
      </w:r>
    </w:p>
    <w:p w14:paraId="497734FC" w14:textId="77777777" w:rsidR="00120603" w:rsidRPr="00120603" w:rsidRDefault="00120603" w:rsidP="00120603">
      <w:pPr>
        <w:spacing w:line="276" w:lineRule="auto"/>
        <w:rPr>
          <w:rFonts w:ascii="Arial" w:hAnsi="Arial" w:cs="Arial"/>
          <w:lang w:val="en-US"/>
        </w:rPr>
      </w:pPr>
    </w:p>
    <w:p w14:paraId="7D389337" w14:textId="5BD1DCBB" w:rsidR="00120603" w:rsidRDefault="00120603" w:rsidP="00120603">
      <w:pPr>
        <w:pStyle w:val="Lijstalinea"/>
        <w:numPr>
          <w:ilvl w:val="0"/>
          <w:numId w:val="7"/>
        </w:numPr>
        <w:spacing w:line="276" w:lineRule="auto"/>
        <w:ind w:left="426"/>
        <w:rPr>
          <w:rFonts w:ascii="Arial" w:hAnsi="Arial" w:cs="Arial"/>
          <w:lang w:val="en-US"/>
        </w:rPr>
      </w:pPr>
      <w:r w:rsidRPr="00120603">
        <w:rPr>
          <w:rFonts w:ascii="Arial" w:hAnsi="Arial" w:cs="Arial"/>
          <w:lang w:val="en-US"/>
        </w:rPr>
        <w:t xml:space="preserve">The personal circumstances referred to in </w:t>
      </w:r>
      <w:hyperlink r:id="rId7" w:history="1">
        <w:r w:rsidRPr="00E40FB8">
          <w:rPr>
            <w:rStyle w:val="Hyperlink"/>
            <w:rFonts w:ascii="Arial" w:hAnsi="Arial" w:cs="Arial"/>
            <w:lang w:val="en-US"/>
          </w:rPr>
          <w:t>Articles 7.8b</w:t>
        </w:r>
        <w:r w:rsidR="00BF13A3">
          <w:rPr>
            <w:rStyle w:val="Hyperlink"/>
            <w:rFonts w:ascii="Arial" w:hAnsi="Arial" w:cs="Arial"/>
            <w:lang w:val="en-US"/>
          </w:rPr>
          <w:t>, third paragraph,</w:t>
        </w:r>
      </w:hyperlink>
      <w:r w:rsidRPr="00120603">
        <w:rPr>
          <w:rFonts w:ascii="Arial" w:hAnsi="Arial" w:cs="Arial"/>
          <w:lang w:val="en-US"/>
        </w:rPr>
        <w:t xml:space="preserve"> and </w:t>
      </w:r>
      <w:hyperlink r:id="rId8" w:history="1">
        <w:r w:rsidRPr="00E40FB8">
          <w:rPr>
            <w:rStyle w:val="Hyperlink"/>
            <w:rFonts w:ascii="Arial" w:hAnsi="Arial" w:cs="Arial"/>
            <w:lang w:val="en-US"/>
          </w:rPr>
          <w:t>7.9</w:t>
        </w:r>
        <w:r w:rsidR="00BF13A3">
          <w:rPr>
            <w:rStyle w:val="Hyperlink"/>
            <w:rFonts w:ascii="Arial" w:hAnsi="Arial" w:cs="Arial"/>
            <w:lang w:val="en-US"/>
          </w:rPr>
          <w:t>, third paragraph,</w:t>
        </w:r>
      </w:hyperlink>
      <w:r w:rsidRPr="00120603">
        <w:rPr>
          <w:rFonts w:ascii="Arial" w:hAnsi="Arial" w:cs="Arial"/>
          <w:lang w:val="en-US"/>
        </w:rPr>
        <w:t xml:space="preserve"> of the Act </w:t>
      </w:r>
      <w:r w:rsidR="00963AF5">
        <w:rPr>
          <w:rFonts w:ascii="Arial" w:hAnsi="Arial" w:cs="Arial"/>
          <w:lang w:val="en-US"/>
        </w:rPr>
        <w:t>encompass</w:t>
      </w:r>
      <w:r w:rsidR="00963AF5" w:rsidRPr="00120603">
        <w:rPr>
          <w:rFonts w:ascii="Arial" w:hAnsi="Arial" w:cs="Arial"/>
          <w:lang w:val="en-US"/>
        </w:rPr>
        <w:t xml:space="preserve"> </w:t>
      </w:r>
      <w:r w:rsidRPr="00120603">
        <w:rPr>
          <w:rFonts w:ascii="Arial" w:hAnsi="Arial" w:cs="Arial"/>
          <w:lang w:val="en-US"/>
        </w:rPr>
        <w:t>exclusive</w:t>
      </w:r>
      <w:r w:rsidR="00963AF5">
        <w:rPr>
          <w:rFonts w:ascii="Arial" w:hAnsi="Arial" w:cs="Arial"/>
          <w:lang w:val="en-US"/>
        </w:rPr>
        <w:t>ly</w:t>
      </w:r>
      <w:r w:rsidRPr="00120603">
        <w:rPr>
          <w:rFonts w:ascii="Arial" w:hAnsi="Arial" w:cs="Arial"/>
          <w:lang w:val="en-US"/>
        </w:rPr>
        <w:t>:</w:t>
      </w:r>
    </w:p>
    <w:p w14:paraId="7E74B151" w14:textId="77777777" w:rsidR="00120603" w:rsidRDefault="00120603" w:rsidP="00120603">
      <w:pPr>
        <w:pStyle w:val="Lijstalinea"/>
        <w:numPr>
          <w:ilvl w:val="1"/>
          <w:numId w:val="7"/>
        </w:numPr>
        <w:spacing w:line="276" w:lineRule="auto"/>
        <w:ind w:left="851"/>
        <w:rPr>
          <w:rFonts w:ascii="Arial" w:hAnsi="Arial" w:cs="Arial"/>
          <w:lang w:val="en-US"/>
        </w:rPr>
      </w:pPr>
      <w:r w:rsidRPr="00120603">
        <w:rPr>
          <w:rFonts w:ascii="Arial" w:hAnsi="Arial" w:cs="Arial"/>
          <w:lang w:val="en-US"/>
        </w:rPr>
        <w:t>illness of the person concerned,</w:t>
      </w:r>
    </w:p>
    <w:p w14:paraId="5DC378DE" w14:textId="77777777" w:rsidR="00120603" w:rsidRDefault="00120603" w:rsidP="00120603">
      <w:pPr>
        <w:pStyle w:val="Lijstalinea"/>
        <w:numPr>
          <w:ilvl w:val="1"/>
          <w:numId w:val="7"/>
        </w:numPr>
        <w:spacing w:line="276" w:lineRule="auto"/>
        <w:ind w:left="851"/>
        <w:rPr>
          <w:rFonts w:ascii="Arial" w:hAnsi="Arial" w:cs="Arial"/>
          <w:lang w:val="en-US"/>
        </w:rPr>
      </w:pPr>
      <w:r w:rsidRPr="00120603">
        <w:rPr>
          <w:rFonts w:ascii="Arial" w:hAnsi="Arial" w:cs="Arial"/>
          <w:lang w:val="en-US"/>
        </w:rPr>
        <w:t>physical, sensory or other functional impairment of the person concerned,</w:t>
      </w:r>
    </w:p>
    <w:p w14:paraId="2F00D403" w14:textId="3988FFB3" w:rsidR="00120603" w:rsidRDefault="00120603" w:rsidP="00120603">
      <w:pPr>
        <w:pStyle w:val="Lijstalinea"/>
        <w:numPr>
          <w:ilvl w:val="1"/>
          <w:numId w:val="7"/>
        </w:numPr>
        <w:spacing w:line="276" w:lineRule="auto"/>
        <w:ind w:left="851"/>
        <w:rPr>
          <w:rFonts w:ascii="Arial" w:hAnsi="Arial" w:cs="Arial"/>
          <w:lang w:val="en-US"/>
        </w:rPr>
      </w:pPr>
      <w:r w:rsidRPr="00120603">
        <w:rPr>
          <w:rFonts w:ascii="Arial" w:hAnsi="Arial" w:cs="Arial"/>
          <w:lang w:val="en-US"/>
        </w:rPr>
        <w:t xml:space="preserve">pregnancy of the person </w:t>
      </w:r>
      <w:r w:rsidR="00963AF5">
        <w:rPr>
          <w:rFonts w:ascii="Arial" w:hAnsi="Arial" w:cs="Arial"/>
          <w:lang w:val="en-US"/>
        </w:rPr>
        <w:t>concerned</w:t>
      </w:r>
      <w:r w:rsidRPr="00120603">
        <w:rPr>
          <w:rFonts w:ascii="Arial" w:hAnsi="Arial" w:cs="Arial"/>
          <w:lang w:val="en-US"/>
        </w:rPr>
        <w:t>,</w:t>
      </w:r>
    </w:p>
    <w:p w14:paraId="4DD23821" w14:textId="77777777" w:rsidR="00120603" w:rsidRDefault="00120603" w:rsidP="00120603">
      <w:pPr>
        <w:pStyle w:val="Lijstalinea"/>
        <w:numPr>
          <w:ilvl w:val="1"/>
          <w:numId w:val="7"/>
        </w:numPr>
        <w:spacing w:line="276" w:lineRule="auto"/>
        <w:ind w:left="851"/>
        <w:rPr>
          <w:rFonts w:ascii="Arial" w:hAnsi="Arial" w:cs="Arial"/>
          <w:lang w:val="en-US"/>
        </w:rPr>
      </w:pPr>
      <w:r w:rsidRPr="00120603">
        <w:rPr>
          <w:rFonts w:ascii="Arial" w:hAnsi="Arial" w:cs="Arial"/>
          <w:lang w:val="en-US"/>
        </w:rPr>
        <w:t>special family circumstances,</w:t>
      </w:r>
    </w:p>
    <w:p w14:paraId="14C016F1" w14:textId="77777777" w:rsidR="00E40FB8" w:rsidRDefault="00120603" w:rsidP="00120603">
      <w:pPr>
        <w:pStyle w:val="Lijstalinea"/>
        <w:numPr>
          <w:ilvl w:val="1"/>
          <w:numId w:val="7"/>
        </w:numPr>
        <w:spacing w:line="276" w:lineRule="auto"/>
        <w:ind w:left="851"/>
        <w:rPr>
          <w:rFonts w:ascii="Arial" w:hAnsi="Arial" w:cs="Arial"/>
          <w:lang w:val="en-US"/>
        </w:rPr>
      </w:pPr>
      <w:r w:rsidRPr="00120603">
        <w:rPr>
          <w:rFonts w:ascii="Arial" w:hAnsi="Arial" w:cs="Arial"/>
          <w:lang w:val="en-US"/>
        </w:rPr>
        <w:t>the membership, including the chairmanship, of:</w:t>
      </w:r>
    </w:p>
    <w:p w14:paraId="283CE3EF" w14:textId="442249A6" w:rsidR="00E40FB8" w:rsidRDefault="00120603" w:rsidP="00E40FB8">
      <w:pPr>
        <w:pStyle w:val="Lijstalinea"/>
        <w:numPr>
          <w:ilvl w:val="2"/>
          <w:numId w:val="7"/>
        </w:numPr>
        <w:spacing w:line="276" w:lineRule="auto"/>
        <w:ind w:left="1134" w:hanging="141"/>
        <w:rPr>
          <w:rFonts w:ascii="Arial" w:hAnsi="Arial" w:cs="Arial"/>
          <w:lang w:val="en-US"/>
        </w:rPr>
      </w:pPr>
      <w:r w:rsidRPr="00E40FB8">
        <w:rPr>
          <w:rFonts w:ascii="Arial" w:hAnsi="Arial" w:cs="Arial"/>
          <w:lang w:val="en-US"/>
        </w:rPr>
        <w:t xml:space="preserve">at </w:t>
      </w:r>
      <w:r w:rsidR="005D7F8D">
        <w:rPr>
          <w:rFonts w:ascii="Arial" w:hAnsi="Arial" w:cs="Arial"/>
          <w:lang w:val="en-US"/>
        </w:rPr>
        <w:t xml:space="preserve">research </w:t>
      </w:r>
      <w:r w:rsidRPr="00E40FB8">
        <w:rPr>
          <w:rFonts w:ascii="Arial" w:hAnsi="Arial" w:cs="Arial"/>
          <w:lang w:val="en-US"/>
        </w:rPr>
        <w:t xml:space="preserve">universities: the council, the faculty council, the </w:t>
      </w:r>
      <w:r w:rsidR="00E40FB8">
        <w:rPr>
          <w:rFonts w:ascii="Arial" w:hAnsi="Arial" w:cs="Arial"/>
          <w:lang w:val="en-US"/>
        </w:rPr>
        <w:t xml:space="preserve">body established on </w:t>
      </w:r>
      <w:r w:rsidRPr="00E40FB8">
        <w:rPr>
          <w:rFonts w:ascii="Arial" w:hAnsi="Arial" w:cs="Arial"/>
          <w:lang w:val="en-US"/>
        </w:rPr>
        <w:t xml:space="preserve">the basis of the participation scheme, as referred to in </w:t>
      </w:r>
      <w:hyperlink r:id="rId9" w:history="1">
        <w:r w:rsidR="00E40FB8">
          <w:rPr>
            <w:rStyle w:val="Hyperlink"/>
            <w:rFonts w:ascii="Arial" w:hAnsi="Arial" w:cs="Arial"/>
            <w:lang w:val="en-US"/>
          </w:rPr>
          <w:t xml:space="preserve">Article 9.30, third </w:t>
        </w:r>
        <w:r w:rsidRPr="00E40FB8">
          <w:rPr>
            <w:rStyle w:val="Hyperlink"/>
            <w:rFonts w:ascii="Arial" w:hAnsi="Arial" w:cs="Arial"/>
            <w:lang w:val="en-US"/>
          </w:rPr>
          <w:t>paragraph</w:t>
        </w:r>
      </w:hyperlink>
      <w:r w:rsidR="00BF13A3">
        <w:rPr>
          <w:rFonts w:ascii="Arial" w:hAnsi="Arial" w:cs="Arial"/>
          <w:lang w:val="en-US"/>
        </w:rPr>
        <w:t xml:space="preserve">, </w:t>
      </w:r>
      <w:r w:rsidR="005D7F8D">
        <w:rPr>
          <w:rFonts w:ascii="Arial" w:hAnsi="Arial" w:cs="Arial"/>
          <w:lang w:val="en-US"/>
        </w:rPr>
        <w:t>respectively</w:t>
      </w:r>
      <w:r w:rsidR="005D7F8D" w:rsidRPr="00E40FB8">
        <w:rPr>
          <w:rFonts w:ascii="Arial" w:hAnsi="Arial" w:cs="Arial"/>
          <w:lang w:val="en-US"/>
        </w:rPr>
        <w:t xml:space="preserve"> </w:t>
      </w:r>
      <w:hyperlink r:id="rId10" w:history="1">
        <w:r w:rsidRPr="00BF13A3">
          <w:rPr>
            <w:rStyle w:val="Hyperlink"/>
            <w:rFonts w:ascii="Arial" w:hAnsi="Arial" w:cs="Arial"/>
            <w:lang w:val="en-US"/>
          </w:rPr>
          <w:t>Article 9</w:t>
        </w:r>
        <w:r w:rsidR="00BF13A3" w:rsidRPr="00BF13A3">
          <w:rPr>
            <w:rStyle w:val="Hyperlink"/>
            <w:rFonts w:ascii="Arial" w:hAnsi="Arial" w:cs="Arial"/>
            <w:lang w:val="en-US"/>
          </w:rPr>
          <w:t>.51, second paragraph</w:t>
        </w:r>
      </w:hyperlink>
      <w:r w:rsidRPr="00E40FB8">
        <w:rPr>
          <w:rFonts w:ascii="Arial" w:hAnsi="Arial" w:cs="Arial"/>
          <w:lang w:val="en-US"/>
        </w:rPr>
        <w:t xml:space="preserve">, </w:t>
      </w:r>
      <w:r w:rsidR="00BF13A3">
        <w:rPr>
          <w:rFonts w:ascii="Arial" w:hAnsi="Arial" w:cs="Arial"/>
          <w:lang w:val="en-US"/>
        </w:rPr>
        <w:t>of the Act, t</w:t>
      </w:r>
      <w:r w:rsidRPr="00E40FB8">
        <w:rPr>
          <w:rFonts w:ascii="Arial" w:hAnsi="Arial" w:cs="Arial"/>
          <w:lang w:val="en-US"/>
        </w:rPr>
        <w:t>he Board of a stu</w:t>
      </w:r>
      <w:r w:rsidR="00E40FB8">
        <w:rPr>
          <w:rFonts w:ascii="Arial" w:hAnsi="Arial" w:cs="Arial"/>
          <w:lang w:val="en-US"/>
        </w:rPr>
        <w:t xml:space="preserve">dy </w:t>
      </w:r>
      <w:proofErr w:type="spellStart"/>
      <w:r w:rsidRPr="00E40FB8">
        <w:rPr>
          <w:rFonts w:ascii="Arial" w:hAnsi="Arial" w:cs="Arial"/>
          <w:lang w:val="en-US"/>
        </w:rPr>
        <w:t>programme</w:t>
      </w:r>
      <w:proofErr w:type="spellEnd"/>
      <w:r w:rsidRPr="00E40FB8">
        <w:rPr>
          <w:rFonts w:ascii="Arial" w:hAnsi="Arial" w:cs="Arial"/>
          <w:lang w:val="en-US"/>
        </w:rPr>
        <w:t xml:space="preserve"> or the Study </w:t>
      </w:r>
      <w:proofErr w:type="spellStart"/>
      <w:r w:rsidRPr="00E40FB8">
        <w:rPr>
          <w:rFonts w:ascii="Arial" w:hAnsi="Arial" w:cs="Arial"/>
          <w:lang w:val="en-US"/>
        </w:rPr>
        <w:t>Programme</w:t>
      </w:r>
      <w:proofErr w:type="spellEnd"/>
      <w:r w:rsidRPr="00E40FB8">
        <w:rPr>
          <w:rFonts w:ascii="Arial" w:hAnsi="Arial" w:cs="Arial"/>
          <w:lang w:val="en-US"/>
        </w:rPr>
        <w:t xml:space="preserve"> Co</w:t>
      </w:r>
      <w:r w:rsidR="00E40FB8">
        <w:rPr>
          <w:rFonts w:ascii="Arial" w:hAnsi="Arial" w:cs="Arial"/>
          <w:lang w:val="en-US"/>
        </w:rPr>
        <w:t xml:space="preserve">mmittee, as well as </w:t>
      </w:r>
      <w:r w:rsidRPr="00E40FB8">
        <w:rPr>
          <w:rFonts w:ascii="Arial" w:hAnsi="Arial" w:cs="Arial"/>
          <w:lang w:val="en-US"/>
        </w:rPr>
        <w:t>membership of the Board of a foundation which, accord</w:t>
      </w:r>
      <w:r w:rsidR="00E40FB8">
        <w:rPr>
          <w:rFonts w:ascii="Arial" w:hAnsi="Arial" w:cs="Arial"/>
          <w:lang w:val="en-US"/>
        </w:rPr>
        <w:t xml:space="preserve">ing to its Articles </w:t>
      </w:r>
      <w:r w:rsidRPr="00E40FB8">
        <w:rPr>
          <w:rFonts w:ascii="Arial" w:hAnsi="Arial" w:cs="Arial"/>
          <w:lang w:val="en-US"/>
        </w:rPr>
        <w:t>of Association, has as its objective the exploitation of f</w:t>
      </w:r>
      <w:r w:rsidR="00E40FB8">
        <w:rPr>
          <w:rFonts w:ascii="Arial" w:hAnsi="Arial" w:cs="Arial"/>
          <w:lang w:val="en-US"/>
        </w:rPr>
        <w:t xml:space="preserve">acilities belonging </w:t>
      </w:r>
      <w:r w:rsidRPr="00E40FB8">
        <w:rPr>
          <w:rFonts w:ascii="Arial" w:hAnsi="Arial" w:cs="Arial"/>
          <w:lang w:val="en-US"/>
        </w:rPr>
        <w:t>to the student services, or of a body which, in the opinion of the</w:t>
      </w:r>
      <w:r w:rsidR="00E40FB8">
        <w:rPr>
          <w:rFonts w:ascii="Arial" w:hAnsi="Arial" w:cs="Arial"/>
          <w:lang w:val="en-US"/>
        </w:rPr>
        <w:t xml:space="preserve"> Board </w:t>
      </w:r>
      <w:r w:rsidRPr="00E40FB8">
        <w:rPr>
          <w:rFonts w:ascii="Arial" w:hAnsi="Arial" w:cs="Arial"/>
          <w:lang w:val="en-US"/>
        </w:rPr>
        <w:t>of the institution, is equivalent to that of a foundation, in v</w:t>
      </w:r>
      <w:r w:rsidR="00E40FB8">
        <w:rPr>
          <w:rFonts w:ascii="Arial" w:hAnsi="Arial" w:cs="Arial"/>
          <w:lang w:val="en-US"/>
        </w:rPr>
        <w:t>iew of its duties,</w:t>
      </w:r>
    </w:p>
    <w:p w14:paraId="43010D22" w14:textId="4264C2D8" w:rsidR="00120603" w:rsidRPr="00E40FB8" w:rsidRDefault="005D7F8D" w:rsidP="00E40FB8">
      <w:pPr>
        <w:pStyle w:val="Lijstalinea"/>
        <w:numPr>
          <w:ilvl w:val="2"/>
          <w:numId w:val="7"/>
        </w:numPr>
        <w:spacing w:line="276" w:lineRule="auto"/>
        <w:ind w:left="1134"/>
        <w:rPr>
          <w:rFonts w:ascii="Arial" w:hAnsi="Arial" w:cs="Arial"/>
          <w:lang w:val="en-US"/>
        </w:rPr>
      </w:pPr>
      <w:r>
        <w:rPr>
          <w:rFonts w:ascii="Arial" w:hAnsi="Arial" w:cs="Arial"/>
          <w:lang w:val="en-US"/>
        </w:rPr>
        <w:t>at universities of applied sciences</w:t>
      </w:r>
      <w:r w:rsidR="00BF13A3">
        <w:rPr>
          <w:rFonts w:ascii="Arial" w:hAnsi="Arial" w:cs="Arial"/>
          <w:lang w:val="en-US"/>
        </w:rPr>
        <w:t xml:space="preserve">: </w:t>
      </w:r>
      <w:r w:rsidR="00120603" w:rsidRPr="00E40FB8">
        <w:rPr>
          <w:rFonts w:ascii="Arial" w:hAnsi="Arial" w:cs="Arial"/>
          <w:lang w:val="en-US"/>
        </w:rPr>
        <w:t>the par</w:t>
      </w:r>
      <w:r w:rsidR="00E40FB8">
        <w:rPr>
          <w:rFonts w:ascii="Arial" w:hAnsi="Arial" w:cs="Arial"/>
          <w:lang w:val="en-US"/>
        </w:rPr>
        <w:t xml:space="preserve">ticipation council, </w:t>
      </w:r>
      <w:r w:rsidR="00120603" w:rsidRPr="00E40FB8">
        <w:rPr>
          <w:rFonts w:ascii="Arial" w:hAnsi="Arial" w:cs="Arial"/>
          <w:lang w:val="en-US"/>
        </w:rPr>
        <w:t xml:space="preserve">district council, student committee or study </w:t>
      </w:r>
      <w:proofErr w:type="spellStart"/>
      <w:r w:rsidR="00120603" w:rsidRPr="00E40FB8">
        <w:rPr>
          <w:rFonts w:ascii="Arial" w:hAnsi="Arial" w:cs="Arial"/>
          <w:lang w:val="en-US"/>
        </w:rPr>
        <w:t>programme</w:t>
      </w:r>
      <w:proofErr w:type="spellEnd"/>
      <w:r w:rsidR="00120603" w:rsidRPr="00E40FB8">
        <w:rPr>
          <w:rFonts w:ascii="Arial" w:hAnsi="Arial" w:cs="Arial"/>
          <w:lang w:val="en-US"/>
        </w:rPr>
        <w:t xml:space="preserve"> committee,</w:t>
      </w:r>
    </w:p>
    <w:p w14:paraId="1A61ABDE" w14:textId="77777777" w:rsidR="00120603" w:rsidRDefault="00120603" w:rsidP="00120603">
      <w:pPr>
        <w:pStyle w:val="Lijstalinea"/>
        <w:numPr>
          <w:ilvl w:val="1"/>
          <w:numId w:val="7"/>
        </w:numPr>
        <w:spacing w:line="276" w:lineRule="auto"/>
        <w:ind w:left="709"/>
        <w:rPr>
          <w:rFonts w:ascii="Arial" w:hAnsi="Arial" w:cs="Arial"/>
          <w:lang w:val="en-US"/>
        </w:rPr>
      </w:pPr>
      <w:r w:rsidRPr="00120603">
        <w:rPr>
          <w:rFonts w:ascii="Arial" w:hAnsi="Arial" w:cs="Arial"/>
          <w:lang w:val="en-US"/>
        </w:rPr>
        <w:t xml:space="preserve">other circumstances in the regulations referred to in </w:t>
      </w:r>
      <w:hyperlink r:id="rId11" w:history="1">
        <w:r w:rsidRPr="00E40FB8">
          <w:rPr>
            <w:rStyle w:val="Hyperlink"/>
            <w:rFonts w:ascii="Arial" w:hAnsi="Arial" w:cs="Arial"/>
            <w:lang w:val="en-US"/>
          </w:rPr>
          <w:t>Articles 7.8b</w:t>
        </w:r>
        <w:r w:rsidR="00E40FB8">
          <w:rPr>
            <w:rStyle w:val="Hyperlink"/>
            <w:rFonts w:ascii="Arial" w:hAnsi="Arial" w:cs="Arial"/>
            <w:lang w:val="en-US"/>
          </w:rPr>
          <w:t>, sixth paragraph</w:t>
        </w:r>
      </w:hyperlink>
      <w:r w:rsidRPr="00120603">
        <w:rPr>
          <w:rFonts w:ascii="Arial" w:hAnsi="Arial" w:cs="Arial"/>
          <w:lang w:val="en-US"/>
        </w:rPr>
        <w:t xml:space="preserve"> and </w:t>
      </w:r>
      <w:hyperlink r:id="rId12" w:history="1">
        <w:r w:rsidRPr="00E40FB8">
          <w:rPr>
            <w:rStyle w:val="Hyperlink"/>
            <w:rFonts w:ascii="Arial" w:hAnsi="Arial" w:cs="Arial"/>
            <w:lang w:val="en-US"/>
          </w:rPr>
          <w:t>7.9</w:t>
        </w:r>
        <w:r w:rsidR="00E40FB8" w:rsidRPr="00E40FB8">
          <w:rPr>
            <w:rStyle w:val="Hyperlink"/>
            <w:rFonts w:ascii="Arial" w:hAnsi="Arial" w:cs="Arial"/>
            <w:lang w:val="en-US"/>
          </w:rPr>
          <w:t>, fifth paragraph</w:t>
        </w:r>
      </w:hyperlink>
      <w:r w:rsidRPr="00120603">
        <w:rPr>
          <w:rFonts w:ascii="Arial" w:hAnsi="Arial" w:cs="Arial"/>
          <w:lang w:val="en-US"/>
        </w:rPr>
        <w:t xml:space="preserve"> of the Act to be indicated by the Executive Board of the institution in which the person concerned develops activities within the framework of the </w:t>
      </w:r>
      <w:r w:rsidR="00BF13A3" w:rsidRPr="00120603">
        <w:rPr>
          <w:rFonts w:ascii="Arial" w:hAnsi="Arial" w:cs="Arial"/>
          <w:lang w:val="en-US"/>
        </w:rPr>
        <w:t>organization</w:t>
      </w:r>
      <w:r w:rsidRPr="00120603">
        <w:rPr>
          <w:rFonts w:ascii="Arial" w:hAnsi="Arial" w:cs="Arial"/>
          <w:lang w:val="en-US"/>
        </w:rPr>
        <w:t xml:space="preserve"> and management of the affairs of the institution,</w:t>
      </w:r>
    </w:p>
    <w:p w14:paraId="300B274F" w14:textId="77777777" w:rsidR="00120603" w:rsidRDefault="00120603" w:rsidP="00120603">
      <w:pPr>
        <w:pStyle w:val="Lijstalinea"/>
        <w:numPr>
          <w:ilvl w:val="1"/>
          <w:numId w:val="7"/>
        </w:numPr>
        <w:spacing w:line="276" w:lineRule="auto"/>
        <w:ind w:left="709"/>
        <w:rPr>
          <w:rFonts w:ascii="Arial" w:hAnsi="Arial" w:cs="Arial"/>
          <w:lang w:val="en-US"/>
        </w:rPr>
      </w:pPr>
      <w:r w:rsidRPr="00120603">
        <w:rPr>
          <w:rFonts w:ascii="Arial" w:hAnsi="Arial" w:cs="Arial"/>
          <w:lang w:val="en-US"/>
        </w:rPr>
        <w:t xml:space="preserve">membership of the board of a student </w:t>
      </w:r>
      <w:r w:rsidR="00BF13A3" w:rsidRPr="00120603">
        <w:rPr>
          <w:rFonts w:ascii="Arial" w:hAnsi="Arial" w:cs="Arial"/>
          <w:lang w:val="en-US"/>
        </w:rPr>
        <w:t>organization</w:t>
      </w:r>
      <w:r w:rsidRPr="00120603">
        <w:rPr>
          <w:rFonts w:ascii="Arial" w:hAnsi="Arial" w:cs="Arial"/>
          <w:lang w:val="en-US"/>
        </w:rPr>
        <w:t xml:space="preserve"> of any size with full legal capacity, or of a similar </w:t>
      </w:r>
      <w:r w:rsidR="00BF13A3" w:rsidRPr="00120603">
        <w:rPr>
          <w:rFonts w:ascii="Arial" w:hAnsi="Arial" w:cs="Arial"/>
          <w:lang w:val="en-US"/>
        </w:rPr>
        <w:t>organization</w:t>
      </w:r>
      <w:r w:rsidRPr="00120603">
        <w:rPr>
          <w:rFonts w:ascii="Arial" w:hAnsi="Arial" w:cs="Arial"/>
          <w:lang w:val="en-US"/>
        </w:rPr>
        <w:t xml:space="preserve"> of any size, in which the promotion of the general interest of society is paramount and which actually carries out activities to this end.</w:t>
      </w:r>
    </w:p>
    <w:p w14:paraId="36EFDC5D" w14:textId="7C1FFEB0" w:rsidR="00B125BB" w:rsidRPr="00120603" w:rsidRDefault="00120603" w:rsidP="00120603">
      <w:pPr>
        <w:pStyle w:val="Lijstalinea"/>
        <w:numPr>
          <w:ilvl w:val="0"/>
          <w:numId w:val="7"/>
        </w:numPr>
        <w:spacing w:line="276" w:lineRule="auto"/>
        <w:ind w:left="426"/>
        <w:rPr>
          <w:rFonts w:ascii="Arial" w:hAnsi="Arial" w:cs="Arial"/>
          <w:lang w:val="en-US"/>
        </w:rPr>
      </w:pPr>
      <w:r w:rsidRPr="00120603">
        <w:rPr>
          <w:rFonts w:ascii="Arial" w:hAnsi="Arial" w:cs="Arial"/>
          <w:lang w:val="en-US"/>
        </w:rPr>
        <w:t>For the application of subsection 1</w:t>
      </w:r>
      <w:r w:rsidR="00E40FB8">
        <w:rPr>
          <w:rFonts w:ascii="Arial" w:hAnsi="Arial" w:cs="Arial"/>
          <w:lang w:val="en-US"/>
        </w:rPr>
        <w:t>, part g</w:t>
      </w:r>
      <w:r w:rsidRPr="00120603">
        <w:rPr>
          <w:rFonts w:ascii="Arial" w:hAnsi="Arial" w:cs="Arial"/>
          <w:lang w:val="en-US"/>
        </w:rPr>
        <w:t xml:space="preserve">, the institutional board may lay down more detailed rules concerning the </w:t>
      </w:r>
      <w:r w:rsidR="00D77A21">
        <w:rPr>
          <w:rFonts w:ascii="Arial" w:hAnsi="Arial" w:cs="Arial"/>
          <w:lang w:val="en-US"/>
        </w:rPr>
        <w:t xml:space="preserve">maximum </w:t>
      </w:r>
      <w:r w:rsidRPr="00120603">
        <w:rPr>
          <w:rFonts w:ascii="Arial" w:hAnsi="Arial" w:cs="Arial"/>
          <w:lang w:val="en-US"/>
        </w:rPr>
        <w:t xml:space="preserve">number of board members eligible for each </w:t>
      </w:r>
      <w:r w:rsidR="00BF13A3" w:rsidRPr="00120603">
        <w:rPr>
          <w:rFonts w:ascii="Arial" w:hAnsi="Arial" w:cs="Arial"/>
          <w:lang w:val="en-US"/>
        </w:rPr>
        <w:t>organization</w:t>
      </w:r>
      <w:r w:rsidRPr="00120603">
        <w:rPr>
          <w:rFonts w:ascii="Arial" w:hAnsi="Arial" w:cs="Arial"/>
          <w:lang w:val="en-US"/>
        </w:rPr>
        <w:t xml:space="preserve"> per academic year, as well as </w:t>
      </w:r>
      <w:r w:rsidR="00D77A21">
        <w:rPr>
          <w:rFonts w:ascii="Arial" w:hAnsi="Arial" w:cs="Arial"/>
          <w:lang w:val="en-US"/>
        </w:rPr>
        <w:t>the</w:t>
      </w:r>
      <w:r w:rsidR="00402B6B">
        <w:rPr>
          <w:rFonts w:ascii="Arial" w:hAnsi="Arial" w:cs="Arial"/>
          <w:lang w:val="en-US"/>
        </w:rPr>
        <w:t xml:space="preserve"> type of</w:t>
      </w:r>
      <w:r w:rsidR="00D77A21">
        <w:rPr>
          <w:rFonts w:ascii="Arial" w:hAnsi="Arial" w:cs="Arial"/>
          <w:lang w:val="en-US"/>
        </w:rPr>
        <w:t xml:space="preserve"> administrative posts</w:t>
      </w:r>
      <w:r w:rsidR="00402B6B">
        <w:rPr>
          <w:rFonts w:ascii="Arial" w:hAnsi="Arial" w:cs="Arial"/>
          <w:lang w:val="en-US"/>
        </w:rPr>
        <w:t xml:space="preserve"> eligible</w:t>
      </w:r>
      <w:r w:rsidRPr="00120603">
        <w:rPr>
          <w:rFonts w:ascii="Arial" w:hAnsi="Arial" w:cs="Arial"/>
          <w:lang w:val="en-US"/>
        </w:rPr>
        <w:t>.</w:t>
      </w:r>
    </w:p>
    <w:p w14:paraId="2AE5AD62" w14:textId="77777777" w:rsidR="00B125BB" w:rsidRDefault="00B125BB" w:rsidP="00B125BB">
      <w:pPr>
        <w:spacing w:line="276" w:lineRule="auto"/>
        <w:rPr>
          <w:rFonts w:ascii="Arial" w:hAnsi="Arial" w:cs="Arial"/>
          <w:b/>
          <w:color w:val="44546A" w:themeColor="text2"/>
          <w:lang w:val="en-US"/>
        </w:rPr>
      </w:pPr>
    </w:p>
    <w:p w14:paraId="48395B06" w14:textId="77777777" w:rsidR="00B125BB" w:rsidRPr="00E9298A" w:rsidRDefault="00B125BB" w:rsidP="00B125BB">
      <w:pPr>
        <w:spacing w:line="276" w:lineRule="auto"/>
        <w:rPr>
          <w:rFonts w:ascii="Arial" w:hAnsi="Arial" w:cs="Arial"/>
          <w:b/>
          <w:color w:val="44546A" w:themeColor="text2"/>
          <w:lang w:val="en-US"/>
        </w:rPr>
      </w:pPr>
    </w:p>
    <w:p w14:paraId="5B65C786" w14:textId="77777777" w:rsidR="000F6A0A" w:rsidRPr="00E9298A" w:rsidRDefault="004D3041">
      <w:pPr>
        <w:rPr>
          <w:lang w:val="en-US"/>
        </w:rPr>
      </w:pPr>
    </w:p>
    <w:sectPr w:rsidR="000F6A0A" w:rsidRPr="00E9298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2E71A" w14:textId="77777777" w:rsidR="00BF13A3" w:rsidRDefault="00BF13A3" w:rsidP="00BF13A3">
      <w:r>
        <w:separator/>
      </w:r>
    </w:p>
  </w:endnote>
  <w:endnote w:type="continuationSeparator" w:id="0">
    <w:p w14:paraId="4D1E74DC" w14:textId="77777777" w:rsidR="00BF13A3" w:rsidRDefault="00BF13A3" w:rsidP="00BF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ED6B6" w14:textId="2B0745A1" w:rsidR="00BF13A3" w:rsidRPr="00BF13A3" w:rsidRDefault="00BF13A3" w:rsidP="00BF13A3">
    <w:pPr>
      <w:pStyle w:val="Voettekst"/>
      <w:rPr>
        <w:rFonts w:ascii="Arial" w:hAnsi="Arial" w:cs="Arial"/>
        <w:lang w:val="en-US"/>
      </w:rPr>
    </w:pPr>
    <w:r w:rsidRPr="00BF13A3">
      <w:rPr>
        <w:rFonts w:ascii="Arial" w:hAnsi="Arial" w:cs="Arial"/>
        <w:sz w:val="14"/>
        <w:lang w:val="en-US"/>
      </w:rPr>
      <w:t xml:space="preserve">FACULTY OF SOCIAL SCIENCES – REGULATIONS FOR BINDING RECOMMENDATION ON CONTINUATION OF STUDIES  </w:t>
    </w:r>
    <w:sdt>
      <w:sdtPr>
        <w:id w:val="-174577534"/>
        <w:docPartObj>
          <w:docPartGallery w:val="Page Numbers (Bottom of Page)"/>
          <w:docPartUnique/>
        </w:docPartObj>
      </w:sdtPr>
      <w:sdtEndPr>
        <w:rPr>
          <w:rFonts w:ascii="Arial" w:hAnsi="Arial" w:cs="Arial"/>
          <w:noProof/>
        </w:rPr>
      </w:sdtEndPr>
      <w:sdtContent>
        <w:r w:rsidRPr="00C07CE6">
          <w:rPr>
            <w:rFonts w:ascii="Arial" w:hAnsi="Arial" w:cs="Arial"/>
          </w:rPr>
          <w:fldChar w:fldCharType="begin"/>
        </w:r>
        <w:r w:rsidRPr="00BF13A3">
          <w:rPr>
            <w:rFonts w:ascii="Arial" w:hAnsi="Arial" w:cs="Arial"/>
            <w:lang w:val="en-US"/>
          </w:rPr>
          <w:instrText xml:space="preserve"> PAGE   \* MERGEFORMAT </w:instrText>
        </w:r>
        <w:r w:rsidRPr="00C07CE6">
          <w:rPr>
            <w:rFonts w:ascii="Arial" w:hAnsi="Arial" w:cs="Arial"/>
          </w:rPr>
          <w:fldChar w:fldCharType="separate"/>
        </w:r>
        <w:r w:rsidR="004D3041">
          <w:rPr>
            <w:rFonts w:ascii="Arial" w:hAnsi="Arial" w:cs="Arial"/>
            <w:noProof/>
            <w:lang w:val="en-US"/>
          </w:rPr>
          <w:t>3</w:t>
        </w:r>
        <w:r w:rsidRPr="00C07CE6">
          <w:rPr>
            <w:rFonts w:ascii="Arial" w:hAnsi="Arial" w:cs="Arial"/>
            <w:noProof/>
          </w:rPr>
          <w:fldChar w:fldCharType="end"/>
        </w:r>
      </w:sdtContent>
    </w:sdt>
  </w:p>
  <w:p w14:paraId="157FF27D" w14:textId="77777777" w:rsidR="00BF13A3" w:rsidRPr="00BF13A3" w:rsidRDefault="00BF13A3">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D6FEB" w14:textId="77777777" w:rsidR="00BF13A3" w:rsidRDefault="00BF13A3" w:rsidP="00BF13A3">
      <w:r>
        <w:separator/>
      </w:r>
    </w:p>
  </w:footnote>
  <w:footnote w:type="continuationSeparator" w:id="0">
    <w:p w14:paraId="41E60D96" w14:textId="77777777" w:rsidR="00BF13A3" w:rsidRDefault="00BF13A3" w:rsidP="00BF1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E3D49" w14:textId="77777777" w:rsidR="00BF13A3" w:rsidRDefault="00BF13A3">
    <w:pPr>
      <w:pStyle w:val="Koptekst"/>
    </w:pPr>
    <w:r>
      <w:rPr>
        <w:rFonts w:ascii="Arial" w:hAnsi="Arial"/>
        <w:noProof/>
        <w:sz w:val="20"/>
      </w:rPr>
      <w:drawing>
        <wp:inline distT="0" distB="0" distL="0" distR="0" wp14:anchorId="1BB0D0F2" wp14:editId="694C99D2">
          <wp:extent cx="2723515" cy="819150"/>
          <wp:effectExtent l="0" t="0" r="635" b="0"/>
          <wp:docPr id="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3515" cy="819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E2B44"/>
    <w:multiLevelType w:val="hybridMultilevel"/>
    <w:tmpl w:val="B34E279A"/>
    <w:lvl w:ilvl="0" w:tplc="945E4E54">
      <w:start w:val="1"/>
      <w:numFmt w:val="decimal"/>
      <w:lvlText w:val="%1."/>
      <w:lvlJc w:val="left"/>
      <w:pPr>
        <w:ind w:left="720" w:hanging="360"/>
      </w:pPr>
      <w:rPr>
        <w:b w:val="0"/>
        <w:color w:val="auto"/>
      </w:rPr>
    </w:lvl>
    <w:lvl w:ilvl="1" w:tplc="82DA6952">
      <w:start w:val="1"/>
      <w:numFmt w:val="lowerLetter"/>
      <w:lvlText w:val="%2."/>
      <w:lvlJc w:val="left"/>
      <w:pPr>
        <w:ind w:left="1440" w:hanging="360"/>
      </w:pPr>
      <w:rPr>
        <w:b w:val="0"/>
        <w:color w:val="auto"/>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A853E2D"/>
    <w:multiLevelType w:val="hybridMultilevel"/>
    <w:tmpl w:val="736EBB6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482333D2"/>
    <w:multiLevelType w:val="hybridMultilevel"/>
    <w:tmpl w:val="66EE1AF0"/>
    <w:lvl w:ilvl="0" w:tplc="945E4E54">
      <w:start w:val="1"/>
      <w:numFmt w:val="decimal"/>
      <w:lvlText w:val="%1."/>
      <w:lvlJc w:val="left"/>
      <w:pPr>
        <w:ind w:left="720" w:hanging="360"/>
      </w:pPr>
      <w:rPr>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3A930E5"/>
    <w:multiLevelType w:val="hybridMultilevel"/>
    <w:tmpl w:val="087E42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6402834"/>
    <w:multiLevelType w:val="hybridMultilevel"/>
    <w:tmpl w:val="07963E56"/>
    <w:lvl w:ilvl="0" w:tplc="945E4E54">
      <w:start w:val="1"/>
      <w:numFmt w:val="decimal"/>
      <w:lvlText w:val="%1."/>
      <w:lvlJc w:val="left"/>
      <w:pPr>
        <w:ind w:left="720" w:hanging="360"/>
      </w:pPr>
      <w:rPr>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16D54D0"/>
    <w:multiLevelType w:val="hybridMultilevel"/>
    <w:tmpl w:val="E6086AAA"/>
    <w:lvl w:ilvl="0" w:tplc="945E4E54">
      <w:start w:val="1"/>
      <w:numFmt w:val="decimal"/>
      <w:lvlText w:val="%1."/>
      <w:lvlJc w:val="left"/>
      <w:pPr>
        <w:ind w:left="720" w:hanging="360"/>
      </w:pPr>
      <w:rPr>
        <w:b w:val="0"/>
        <w:color w:val="auto"/>
      </w:rPr>
    </w:lvl>
    <w:lvl w:ilvl="1" w:tplc="04130019">
      <w:start w:val="1"/>
      <w:numFmt w:val="lowerLetter"/>
      <w:lvlText w:val="%2."/>
      <w:lvlJc w:val="left"/>
      <w:pPr>
        <w:ind w:left="1440" w:hanging="360"/>
      </w:pPr>
    </w:lvl>
    <w:lvl w:ilvl="2" w:tplc="945E4E54">
      <w:start w:val="1"/>
      <w:numFmt w:val="decimal"/>
      <w:lvlText w:val="%3."/>
      <w:lvlJc w:val="left"/>
      <w:pPr>
        <w:ind w:left="2160" w:hanging="180"/>
      </w:pPr>
      <w:rPr>
        <w:b w:val="0"/>
        <w:color w:val="auto"/>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79806EB"/>
    <w:multiLevelType w:val="hybridMultilevel"/>
    <w:tmpl w:val="D4A0A64C"/>
    <w:lvl w:ilvl="0" w:tplc="42E80BB0">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77D489A"/>
    <w:multiLevelType w:val="hybridMultilevel"/>
    <w:tmpl w:val="E1C6EF74"/>
    <w:lvl w:ilvl="0" w:tplc="0409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num w:numId="1">
    <w:abstractNumId w:val="1"/>
  </w:num>
  <w:num w:numId="2">
    <w:abstractNumId w:val="6"/>
  </w:num>
  <w:num w:numId="3">
    <w:abstractNumId w:val="3"/>
  </w:num>
  <w:num w:numId="4">
    <w:abstractNumId w:val="0"/>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D3"/>
    <w:rsid w:val="00055090"/>
    <w:rsid w:val="000604FB"/>
    <w:rsid w:val="00105643"/>
    <w:rsid w:val="00120603"/>
    <w:rsid w:val="00204823"/>
    <w:rsid w:val="003662A2"/>
    <w:rsid w:val="003B3651"/>
    <w:rsid w:val="003C5709"/>
    <w:rsid w:val="00402B6B"/>
    <w:rsid w:val="0049692B"/>
    <w:rsid w:val="004D3041"/>
    <w:rsid w:val="005A7027"/>
    <w:rsid w:val="005D7F8D"/>
    <w:rsid w:val="00830238"/>
    <w:rsid w:val="008732B1"/>
    <w:rsid w:val="008A7C2D"/>
    <w:rsid w:val="0093009D"/>
    <w:rsid w:val="00930747"/>
    <w:rsid w:val="00963AF5"/>
    <w:rsid w:val="00A56172"/>
    <w:rsid w:val="00A82EB0"/>
    <w:rsid w:val="00B048D3"/>
    <w:rsid w:val="00B125BB"/>
    <w:rsid w:val="00B61340"/>
    <w:rsid w:val="00B674C8"/>
    <w:rsid w:val="00BF13A3"/>
    <w:rsid w:val="00C9281D"/>
    <w:rsid w:val="00D503EA"/>
    <w:rsid w:val="00D77A21"/>
    <w:rsid w:val="00D939B3"/>
    <w:rsid w:val="00E40FB8"/>
    <w:rsid w:val="00E44BBE"/>
    <w:rsid w:val="00E81110"/>
    <w:rsid w:val="00E9298A"/>
    <w:rsid w:val="00EB00C9"/>
    <w:rsid w:val="00FE49B5"/>
    <w:rsid w:val="00FE5C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6F7D"/>
  <w15:chartTrackingRefBased/>
  <w15:docId w15:val="{D5767B52-09BB-40FF-89B8-1D021A72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125B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25BB"/>
    <w:pPr>
      <w:ind w:left="720"/>
      <w:contextualSpacing/>
    </w:pPr>
  </w:style>
  <w:style w:type="character" w:styleId="Verwijzingopmerking">
    <w:name w:val="annotation reference"/>
    <w:basedOn w:val="Standaardalinea-lettertype"/>
    <w:uiPriority w:val="99"/>
    <w:semiHidden/>
    <w:unhideWhenUsed/>
    <w:rsid w:val="00120603"/>
    <w:rPr>
      <w:sz w:val="16"/>
      <w:szCs w:val="16"/>
    </w:rPr>
  </w:style>
  <w:style w:type="paragraph" w:styleId="Tekstopmerking">
    <w:name w:val="annotation text"/>
    <w:basedOn w:val="Standaard"/>
    <w:link w:val="TekstopmerkingChar"/>
    <w:uiPriority w:val="99"/>
    <w:semiHidden/>
    <w:unhideWhenUsed/>
    <w:rsid w:val="00120603"/>
    <w:rPr>
      <w:sz w:val="20"/>
      <w:szCs w:val="20"/>
    </w:rPr>
  </w:style>
  <w:style w:type="character" w:customStyle="1" w:styleId="TekstopmerkingChar">
    <w:name w:val="Tekst opmerking Char"/>
    <w:basedOn w:val="Standaardalinea-lettertype"/>
    <w:link w:val="Tekstopmerking"/>
    <w:uiPriority w:val="99"/>
    <w:semiHidden/>
    <w:rsid w:val="0012060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20603"/>
    <w:rPr>
      <w:b/>
      <w:bCs/>
    </w:rPr>
  </w:style>
  <w:style w:type="character" w:customStyle="1" w:styleId="OnderwerpvanopmerkingChar">
    <w:name w:val="Onderwerp van opmerking Char"/>
    <w:basedOn w:val="TekstopmerkingChar"/>
    <w:link w:val="Onderwerpvanopmerking"/>
    <w:uiPriority w:val="99"/>
    <w:semiHidden/>
    <w:rsid w:val="00120603"/>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12060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0603"/>
    <w:rPr>
      <w:rFonts w:ascii="Segoe UI" w:eastAsia="Times New Roman" w:hAnsi="Segoe UI" w:cs="Segoe UI"/>
      <w:sz w:val="18"/>
      <w:szCs w:val="18"/>
      <w:lang w:eastAsia="nl-NL"/>
    </w:rPr>
  </w:style>
  <w:style w:type="character" w:styleId="Hyperlink">
    <w:name w:val="Hyperlink"/>
    <w:basedOn w:val="Standaardalinea-lettertype"/>
    <w:uiPriority w:val="99"/>
    <w:unhideWhenUsed/>
    <w:rsid w:val="00120603"/>
    <w:rPr>
      <w:color w:val="0563C1" w:themeColor="hyperlink"/>
      <w:u w:val="single"/>
    </w:rPr>
  </w:style>
  <w:style w:type="paragraph" w:styleId="Koptekst">
    <w:name w:val="header"/>
    <w:basedOn w:val="Standaard"/>
    <w:link w:val="KoptekstChar"/>
    <w:uiPriority w:val="99"/>
    <w:unhideWhenUsed/>
    <w:rsid w:val="00BF13A3"/>
    <w:pPr>
      <w:tabs>
        <w:tab w:val="center" w:pos="4513"/>
        <w:tab w:val="right" w:pos="9026"/>
      </w:tabs>
    </w:pPr>
  </w:style>
  <w:style w:type="character" w:customStyle="1" w:styleId="KoptekstChar">
    <w:name w:val="Koptekst Char"/>
    <w:basedOn w:val="Standaardalinea-lettertype"/>
    <w:link w:val="Koptekst"/>
    <w:uiPriority w:val="99"/>
    <w:rsid w:val="00BF13A3"/>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BF13A3"/>
    <w:pPr>
      <w:tabs>
        <w:tab w:val="center" w:pos="4513"/>
        <w:tab w:val="right" w:pos="9026"/>
      </w:tabs>
    </w:pPr>
  </w:style>
  <w:style w:type="character" w:customStyle="1" w:styleId="VoettekstChar">
    <w:name w:val="Voettekst Char"/>
    <w:basedOn w:val="Standaardalinea-lettertype"/>
    <w:link w:val="Voettekst"/>
    <w:uiPriority w:val="99"/>
    <w:rsid w:val="00BF13A3"/>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ten.overheid.nl/BWBR0005682/Hoofdstuk7/Titel1/Paragraaf1/Artikel79/geldigheidsdatum_31-08-201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tten.overheid.nl/BWBR0005682/Hoofdstuk7/Titel1/Paragraaf1/Artikel78b/geldigheidsdatum_31-08-2012" TargetMode="External"/><Relationship Id="rId12" Type="http://schemas.openxmlformats.org/officeDocument/2006/relationships/hyperlink" Target="http://wetten.overheid.nl/BWBR0005682/Hoofdstuk7/Titel1/Paragraaf1/Artikel79/geldigheidsdatum_31-08-201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tten.overheid.nl/BWBR0005682/Hoofdstuk7/Titel1/Paragraaf1/Artikel78b/geldigheidsdatum_31-08-201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tten.overheid.nl/BWBR0005682/Hoofdstuk9/Titel3/Artikel951/geldigheidsdatum_31-08-2012" TargetMode="External"/><Relationship Id="rId4" Type="http://schemas.openxmlformats.org/officeDocument/2006/relationships/webSettings" Target="webSettings.xml"/><Relationship Id="rId9" Type="http://schemas.openxmlformats.org/officeDocument/2006/relationships/hyperlink" Target="http://wetten.overheid.nl/BWBR0005682/Hoofdstuk9/TITEL2/Artikel930/geldigheidsdatum_31-08-201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1453</Words>
  <Characters>7995</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 Amsterdam</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Willems, S.</dc:creator>
  <cp:keywords/>
  <dc:description/>
  <cp:lastModifiedBy>HHA600</cp:lastModifiedBy>
  <cp:revision>3</cp:revision>
  <dcterms:created xsi:type="dcterms:W3CDTF">2021-11-30T12:15:00Z</dcterms:created>
  <dcterms:modified xsi:type="dcterms:W3CDTF">2021-11-30T12:17:00Z</dcterms:modified>
</cp:coreProperties>
</file>