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D1B14" w14:textId="77777777" w:rsidR="000F2729" w:rsidRDefault="000F2729" w:rsidP="000F2729">
      <w:pPr>
        <w:spacing w:line="360" w:lineRule="auto"/>
        <w:jc w:val="center"/>
        <w:rPr>
          <w:rFonts w:ascii="Calibri" w:eastAsia="Calibri" w:hAnsi="Calibri" w:cs="Calibri"/>
          <w:b/>
          <w:bCs/>
          <w:color w:val="000000" w:themeColor="text1"/>
          <w:sz w:val="28"/>
          <w:szCs w:val="28"/>
        </w:rPr>
      </w:pPr>
      <w:r w:rsidRPr="007B19CB">
        <w:rPr>
          <w:rFonts w:ascii="Calibri" w:eastAsia="Calibri" w:hAnsi="Calibri" w:cs="Calibri"/>
          <w:b/>
          <w:bCs/>
          <w:color w:val="000000" w:themeColor="text1"/>
          <w:sz w:val="28"/>
          <w:szCs w:val="28"/>
        </w:rPr>
        <w:t>Supplementary Information</w:t>
      </w:r>
    </w:p>
    <w:p w14:paraId="0F949048" w14:textId="77777777" w:rsidR="000F2729" w:rsidRPr="007B19CB" w:rsidRDefault="000F2729" w:rsidP="000F2729">
      <w:pPr>
        <w:spacing w:line="360" w:lineRule="auto"/>
        <w:jc w:val="center"/>
        <w:rPr>
          <w:rFonts w:ascii="Calibri" w:eastAsia="Calibri" w:hAnsi="Calibri" w:cs="Calibri"/>
          <w:b/>
          <w:bCs/>
          <w:color w:val="000000" w:themeColor="text1"/>
          <w:sz w:val="28"/>
          <w:szCs w:val="28"/>
        </w:rPr>
      </w:pPr>
    </w:p>
    <w:p w14:paraId="18FF9AF2" w14:textId="77777777" w:rsidR="000B4383" w:rsidRPr="004060D1" w:rsidRDefault="000F2729" w:rsidP="000B4383">
      <w:pPr>
        <w:spacing w:line="360" w:lineRule="auto"/>
        <w:jc w:val="center"/>
        <w:rPr>
          <w:b/>
          <w:bCs/>
          <w:sz w:val="36"/>
          <w:szCs w:val="36"/>
        </w:rPr>
      </w:pPr>
      <w:r w:rsidRPr="00545FCB">
        <w:rPr>
          <w:rFonts w:ascii="Calibri" w:eastAsia="Calibri" w:hAnsi="Calibri" w:cs="Calibri"/>
          <w:b/>
          <w:bCs/>
          <w:color w:val="000000" w:themeColor="text1"/>
          <w:sz w:val="32"/>
          <w:szCs w:val="32"/>
        </w:rPr>
        <w:t xml:space="preserve"> </w:t>
      </w:r>
      <w:r w:rsidR="000B4383" w:rsidRPr="004060D1">
        <w:rPr>
          <w:b/>
          <w:sz w:val="36"/>
          <w:szCs w:val="36"/>
        </w:rPr>
        <w:t>Language and reading impairments are associated with increased prevalence of non-right handedness</w:t>
      </w:r>
    </w:p>
    <w:p w14:paraId="516FCE9B" w14:textId="0247FE01" w:rsidR="000F2729" w:rsidRDefault="000F2729" w:rsidP="000F2729">
      <w:pPr>
        <w:spacing w:line="360" w:lineRule="auto"/>
        <w:jc w:val="center"/>
        <w:rPr>
          <w:rFonts w:ascii="Calibri" w:eastAsia="Calibri" w:hAnsi="Calibri" w:cs="Calibri"/>
          <w:b/>
          <w:bCs/>
          <w:color w:val="000000" w:themeColor="text1"/>
          <w:sz w:val="28"/>
          <w:szCs w:val="28"/>
        </w:rPr>
      </w:pPr>
    </w:p>
    <w:p w14:paraId="7B12D0D3" w14:textId="2E96ECA2" w:rsidR="00545FCB" w:rsidRPr="00545FCB" w:rsidRDefault="00545FCB" w:rsidP="000F2729">
      <w:pPr>
        <w:spacing w:line="360" w:lineRule="auto"/>
        <w:rPr>
          <w:rFonts w:ascii="Calibri" w:eastAsia="Calibri" w:hAnsi="Calibri" w:cs="Calibri"/>
          <w:b/>
          <w:bCs/>
          <w:color w:val="000000" w:themeColor="text1"/>
          <w:sz w:val="32"/>
          <w:szCs w:val="32"/>
        </w:rPr>
      </w:pPr>
    </w:p>
    <w:p w14:paraId="4F99968C" w14:textId="42019E41" w:rsidR="00B95D1C" w:rsidRPr="001A5604" w:rsidRDefault="00545FCB" w:rsidP="00545FCB">
      <w:r w:rsidRPr="00545FCB">
        <w:rPr>
          <w:b/>
          <w:bCs/>
          <w:sz w:val="28"/>
          <w:szCs w:val="28"/>
        </w:rPr>
        <w:t>Supplementary M</w:t>
      </w:r>
      <w:r w:rsidR="4BB74C9A" w:rsidRPr="00545FCB">
        <w:rPr>
          <w:b/>
          <w:bCs/>
          <w:sz w:val="28"/>
          <w:szCs w:val="28"/>
        </w:rPr>
        <w:t>ethods</w:t>
      </w:r>
    </w:p>
    <w:p w14:paraId="33013D99" w14:textId="77777777" w:rsidR="000F2729" w:rsidRDefault="000F2729" w:rsidP="00545FCB">
      <w:pPr>
        <w:spacing w:line="360" w:lineRule="auto"/>
        <w:rPr>
          <w:b/>
        </w:rPr>
      </w:pPr>
    </w:p>
    <w:p w14:paraId="71ABC9AE" w14:textId="79404E1A" w:rsidR="00D332E0" w:rsidRPr="00545FCB" w:rsidRDefault="0063073D" w:rsidP="00545FCB">
      <w:pPr>
        <w:spacing w:line="360" w:lineRule="auto"/>
        <w:rPr>
          <w:b/>
        </w:rPr>
      </w:pPr>
      <w:r w:rsidRPr="0063073D">
        <w:rPr>
          <w:b/>
        </w:rPr>
        <w:t>Simulations</w:t>
      </w:r>
    </w:p>
    <w:p w14:paraId="6AE99B6C" w14:textId="2B8E4045" w:rsidR="00B95D1C" w:rsidRPr="00BC1375" w:rsidRDefault="0ECE997E" w:rsidP="00545FCB">
      <w:pPr>
        <w:spacing w:line="360" w:lineRule="auto"/>
      </w:pPr>
      <w:r>
        <w:t>The ALSPAC control</w:t>
      </w:r>
      <w:r w:rsidR="2FAC8912">
        <w:t xml:space="preserve"> group was </w:t>
      </w:r>
      <w:r>
        <w:t xml:space="preserve">used as </w:t>
      </w:r>
      <w:r w:rsidR="319BCE88">
        <w:t xml:space="preserve">the </w:t>
      </w:r>
      <w:r>
        <w:t xml:space="preserve">control </w:t>
      </w:r>
      <w:r w:rsidR="61F0996B">
        <w:t xml:space="preserve">group </w:t>
      </w:r>
      <w:r>
        <w:t xml:space="preserve">for </w:t>
      </w:r>
      <w:r w:rsidR="7107A3E0">
        <w:t>the Manchester Language Study and the UK Dyslexia cohort</w:t>
      </w:r>
      <w:r w:rsidR="00945DDB">
        <w:t xml:space="preserve"> after </w:t>
      </w:r>
      <w:r w:rsidR="00D332E0">
        <w:t xml:space="preserve">a random </w:t>
      </w:r>
      <w:r w:rsidR="00945DDB">
        <w:t>sex-matching process</w:t>
      </w:r>
      <w:r w:rsidR="7107A3E0">
        <w:t xml:space="preserve">. </w:t>
      </w:r>
      <w:r w:rsidR="00945DDB">
        <w:t>Therefore, w</w:t>
      </w:r>
      <w:r w:rsidR="02B60105">
        <w:t xml:space="preserve">e </w:t>
      </w:r>
      <w:r w:rsidR="00831CAF">
        <w:t>ran</w:t>
      </w:r>
      <w:r w:rsidR="02B60105">
        <w:t xml:space="preserve"> a simulation analysis to </w:t>
      </w:r>
      <w:r w:rsidR="00035996">
        <w:t xml:space="preserve">evaluate </w:t>
      </w:r>
      <w:r w:rsidR="00D332E0">
        <w:t xml:space="preserve">how variation in the size of the initial sample would affect </w:t>
      </w:r>
      <w:r w:rsidR="00035996">
        <w:t>non-right handedness (NRH) frequency</w:t>
      </w:r>
      <w:r w:rsidR="00D332E0">
        <w:t xml:space="preserve"> after sex-matching.</w:t>
      </w:r>
    </w:p>
    <w:p w14:paraId="0E6302EE" w14:textId="26B38358" w:rsidR="009D2182" w:rsidRPr="000F2729" w:rsidRDefault="6D3552AA" w:rsidP="00545FCB">
      <w:pPr>
        <w:spacing w:line="360" w:lineRule="auto"/>
        <w:rPr>
          <w:b/>
        </w:rPr>
      </w:pPr>
      <w:r>
        <w:t xml:space="preserve">We </w:t>
      </w:r>
      <w:r w:rsidR="1777847E">
        <w:t xml:space="preserve">calculated the </w:t>
      </w:r>
      <w:r w:rsidR="053DEC7C">
        <w:t xml:space="preserve">lowest and highest </w:t>
      </w:r>
      <w:r w:rsidR="1777847E">
        <w:t>NRH frequenc</w:t>
      </w:r>
      <w:r w:rsidR="16DB329A">
        <w:t>ies</w:t>
      </w:r>
      <w:r w:rsidR="1777847E">
        <w:t xml:space="preserve"> </w:t>
      </w:r>
      <w:r w:rsidR="13B76EB7">
        <w:t>when extracting a</w:t>
      </w:r>
      <w:r w:rsidR="00EB17DA">
        <w:t xml:space="preserve"> sample of</w:t>
      </w:r>
      <w:r w:rsidR="13B76EB7">
        <w:t xml:space="preserve"> </w:t>
      </w:r>
      <w:r w:rsidR="47C17C9A">
        <w:t xml:space="preserve">500, 750 and 1,000 random </w:t>
      </w:r>
      <w:r w:rsidR="58BBE4DC">
        <w:t>controls</w:t>
      </w:r>
      <w:r w:rsidR="23C1A1D8">
        <w:t xml:space="preserve"> </w:t>
      </w:r>
      <w:r w:rsidR="00945DDB">
        <w:t>(</w:t>
      </w:r>
      <w:r w:rsidR="00945DDB" w:rsidRPr="280D8D78">
        <w:rPr>
          <w:rFonts w:ascii="Calibri" w:eastAsia="Calibri" w:hAnsi="Calibri" w:cs="Calibri"/>
          <w:color w:val="000000" w:themeColor="text1"/>
        </w:rPr>
        <w:t>N</w:t>
      </w:r>
      <w:r w:rsidR="00945DDB" w:rsidRPr="280D8D78">
        <w:rPr>
          <w:rFonts w:ascii="Calibri" w:eastAsia="Calibri" w:hAnsi="Calibri" w:cs="Calibri"/>
          <w:color w:val="000000" w:themeColor="text1"/>
          <w:vertAlign w:val="subscript"/>
        </w:rPr>
        <w:t>simulation</w:t>
      </w:r>
      <w:r w:rsidR="00945DDB" w:rsidRPr="280D8D78">
        <w:rPr>
          <w:rFonts w:ascii="Calibri" w:eastAsia="Calibri" w:hAnsi="Calibri" w:cs="Calibri"/>
          <w:color w:val="000000" w:themeColor="text1"/>
        </w:rPr>
        <w:t xml:space="preserve"> = 1,000</w:t>
      </w:r>
      <w:r w:rsidR="00945DDB">
        <w:t xml:space="preserve">; </w:t>
      </w:r>
      <w:r w:rsidR="58BBE4DC">
        <w:t>Supplementary Table S</w:t>
      </w:r>
      <w:r w:rsidR="00DD6905">
        <w:t>3</w:t>
      </w:r>
      <w:r w:rsidR="58BBE4DC">
        <w:t xml:space="preserve">). The simulation showed </w:t>
      </w:r>
      <w:r w:rsidR="00945DDB">
        <w:t xml:space="preserve">that in a sample of 500 controls NRH would range between 8% and 15%. This range </w:t>
      </w:r>
      <w:r w:rsidR="00D332E0">
        <w:t>was reduced to 11%-13% for a sample of 1000 individuals.</w:t>
      </w:r>
      <w:r w:rsidR="00945DDB">
        <w:t xml:space="preserve"> </w:t>
      </w:r>
      <w:r w:rsidR="58BBE4DC">
        <w:t xml:space="preserve">As a result, we used </w:t>
      </w:r>
      <w:r w:rsidR="2F0845E4">
        <w:t xml:space="preserve">a </w:t>
      </w:r>
      <w:r w:rsidR="0ECE997E" w:rsidRPr="280D8D78">
        <w:rPr>
          <w:rFonts w:ascii="Calibri" w:eastAsia="Calibri" w:hAnsi="Calibri" w:cs="Calibri"/>
          <w:color w:val="000000" w:themeColor="text1"/>
        </w:rPr>
        <w:t xml:space="preserve">cut-off </w:t>
      </w:r>
      <w:r w:rsidR="000F2729">
        <w:rPr>
          <w:rFonts w:ascii="Calibri" w:eastAsia="Calibri" w:hAnsi="Calibri" w:cs="Calibri"/>
          <w:color w:val="000000" w:themeColor="text1"/>
        </w:rPr>
        <w:t xml:space="preserve">of  </w:t>
      </w:r>
      <w:r w:rsidR="7548AAC6" w:rsidRPr="280D8D78">
        <w:rPr>
          <w:rFonts w:ascii="Calibri" w:eastAsia="Calibri" w:hAnsi="Calibri" w:cs="Calibri"/>
          <w:color w:val="000000" w:themeColor="text1"/>
        </w:rPr>
        <w:t xml:space="preserve"> </w:t>
      </w:r>
      <w:r w:rsidR="000F2729">
        <w:rPr>
          <w:rFonts w:ascii="Calibri" w:eastAsia="Calibri" w:hAnsi="Calibri" w:cs="Calibri"/>
          <w:color w:val="000000" w:themeColor="text1"/>
        </w:rPr>
        <w:t>-</w:t>
      </w:r>
      <w:r w:rsidR="7548AAC6" w:rsidRPr="280D8D78">
        <w:rPr>
          <w:rFonts w:ascii="Calibri" w:eastAsia="Calibri" w:hAnsi="Calibri" w:cs="Calibri"/>
          <w:color w:val="000000" w:themeColor="text1"/>
        </w:rPr>
        <w:t>0.25</w:t>
      </w:r>
      <w:r w:rsidR="00D332E0">
        <w:rPr>
          <w:rFonts w:ascii="Calibri" w:eastAsia="Calibri" w:hAnsi="Calibri" w:cs="Calibri"/>
          <w:color w:val="000000" w:themeColor="text1"/>
        </w:rPr>
        <w:t xml:space="preserve"> </w:t>
      </w:r>
      <w:r w:rsidR="7548AAC6" w:rsidRPr="280D8D78">
        <w:rPr>
          <w:rFonts w:ascii="Calibri" w:eastAsia="Calibri" w:hAnsi="Calibri" w:cs="Calibri"/>
          <w:color w:val="000000" w:themeColor="text1"/>
        </w:rPr>
        <w:t xml:space="preserve">SD </w:t>
      </w:r>
      <w:r w:rsidR="0ECE997E" w:rsidRPr="280D8D78">
        <w:rPr>
          <w:rFonts w:ascii="Calibri" w:eastAsia="Calibri" w:hAnsi="Calibri" w:cs="Calibri"/>
          <w:color w:val="000000" w:themeColor="text1"/>
        </w:rPr>
        <w:t>above the mean of all tests</w:t>
      </w:r>
      <w:r w:rsidR="74073A25" w:rsidRPr="280D8D78">
        <w:rPr>
          <w:rFonts w:ascii="Calibri" w:eastAsia="Calibri" w:hAnsi="Calibri" w:cs="Calibri"/>
          <w:color w:val="000000" w:themeColor="text1"/>
        </w:rPr>
        <w:t xml:space="preserve">, resulting </w:t>
      </w:r>
      <w:r w:rsidR="1AA3B323" w:rsidRPr="280D8D78">
        <w:rPr>
          <w:rFonts w:ascii="Calibri" w:eastAsia="Calibri" w:hAnsi="Calibri" w:cs="Calibri"/>
          <w:color w:val="000000" w:themeColor="text1"/>
        </w:rPr>
        <w:t xml:space="preserve">in a </w:t>
      </w:r>
      <w:r w:rsidR="00D332E0">
        <w:rPr>
          <w:rFonts w:ascii="Calibri" w:eastAsia="Calibri" w:hAnsi="Calibri" w:cs="Calibri"/>
          <w:color w:val="000000" w:themeColor="text1"/>
        </w:rPr>
        <w:t>sta</w:t>
      </w:r>
      <w:r w:rsidR="00EB17DA">
        <w:rPr>
          <w:rFonts w:ascii="Calibri" w:eastAsia="Calibri" w:hAnsi="Calibri" w:cs="Calibri"/>
          <w:color w:val="000000" w:themeColor="text1"/>
        </w:rPr>
        <w:t>r</w:t>
      </w:r>
      <w:r w:rsidR="00D332E0">
        <w:rPr>
          <w:rFonts w:ascii="Calibri" w:eastAsia="Calibri" w:hAnsi="Calibri" w:cs="Calibri"/>
          <w:color w:val="000000" w:themeColor="text1"/>
        </w:rPr>
        <w:t xml:space="preserve">ting sample </w:t>
      </w:r>
      <w:r w:rsidR="1AA3B323" w:rsidRPr="280D8D78">
        <w:rPr>
          <w:rFonts w:ascii="Calibri" w:eastAsia="Calibri" w:hAnsi="Calibri" w:cs="Calibri"/>
          <w:color w:val="000000" w:themeColor="text1"/>
        </w:rPr>
        <w:t xml:space="preserve">of N = 1,138 </w:t>
      </w:r>
      <w:r w:rsidR="2A68980D" w:rsidRPr="280D8D78">
        <w:rPr>
          <w:rFonts w:ascii="Calibri" w:eastAsia="Calibri" w:hAnsi="Calibri" w:cs="Calibri"/>
          <w:color w:val="000000" w:themeColor="text1"/>
        </w:rPr>
        <w:t xml:space="preserve">initial </w:t>
      </w:r>
      <w:r w:rsidR="1AA3B323" w:rsidRPr="280D8D78">
        <w:rPr>
          <w:rFonts w:ascii="Calibri" w:eastAsia="Calibri" w:hAnsi="Calibri" w:cs="Calibri"/>
          <w:color w:val="000000" w:themeColor="text1"/>
        </w:rPr>
        <w:t>controls</w:t>
      </w:r>
      <w:r w:rsidR="74073A25" w:rsidRPr="280D8D78">
        <w:rPr>
          <w:rFonts w:ascii="Calibri" w:eastAsia="Calibri" w:hAnsi="Calibri" w:cs="Calibri"/>
          <w:color w:val="000000" w:themeColor="text1"/>
        </w:rPr>
        <w:t>.</w:t>
      </w:r>
      <w:r w:rsidR="000F2729">
        <w:rPr>
          <w:rFonts w:ascii="Calibri" w:eastAsia="Calibri" w:hAnsi="Calibri" w:cs="Calibri"/>
          <w:color w:val="000000" w:themeColor="text1"/>
        </w:rPr>
        <w:t xml:space="preserve"> </w:t>
      </w:r>
      <w:r w:rsidR="000F2729">
        <w:t>For consistency, we applied the same cut-off to the TEDS controls.</w:t>
      </w:r>
    </w:p>
    <w:p w14:paraId="07849085" w14:textId="1D5F9F7E" w:rsidR="00B95D1C" w:rsidRPr="00BC1375" w:rsidRDefault="00B95D1C" w:rsidP="00545FCB">
      <w:pPr>
        <w:spacing w:line="360" w:lineRule="auto"/>
      </w:pPr>
    </w:p>
    <w:p w14:paraId="25F82146" w14:textId="69B3CC7C" w:rsidR="00D332E0" w:rsidRDefault="003410C3" w:rsidP="00545FCB">
      <w:pPr>
        <w:spacing w:line="360" w:lineRule="auto"/>
        <w:rPr>
          <w:b/>
        </w:rPr>
      </w:pPr>
      <w:r>
        <w:t>In three</w:t>
      </w:r>
      <w:r w:rsidR="69110276">
        <w:t xml:space="preserve"> cohorts</w:t>
      </w:r>
      <w:r>
        <w:t xml:space="preserve"> (ALSPAC, TEDs and York) it was possible to identify individuals </w:t>
      </w:r>
      <w:r w:rsidR="005C08DF">
        <w:t>who had either reading or language impairment (or both)</w:t>
      </w:r>
      <w:r w:rsidR="0BE759BE">
        <w:t xml:space="preserve">. </w:t>
      </w:r>
      <w:r w:rsidR="00162ED3">
        <w:t>The two case groups (reading and language impairment) were compared to a single control sample</w:t>
      </w:r>
      <w:r w:rsidR="00EB17DA">
        <w:t>. We ra</w:t>
      </w:r>
      <w:r w:rsidR="009D2182">
        <w:t>n a simulation to test whether the use of the sam</w:t>
      </w:r>
      <w:r w:rsidR="00441A21">
        <w:t xml:space="preserve">e controls for comparisons with two different sets of cases could inflate the results. </w:t>
      </w:r>
      <w:r w:rsidR="1E058EF9">
        <w:t xml:space="preserve">We </w:t>
      </w:r>
      <w:r w:rsidR="22A0AAC1">
        <w:t xml:space="preserve">created synthetic controls for all cohorts and </w:t>
      </w:r>
      <w:r w:rsidR="00EB17DA">
        <w:t>ra</w:t>
      </w:r>
      <w:r w:rsidR="109855E4">
        <w:t>n the meta-analysis</w:t>
      </w:r>
      <w:r w:rsidR="4EA5683E">
        <w:t xml:space="preserve"> (</w:t>
      </w:r>
      <w:r w:rsidR="1E058EF9">
        <w:t>N</w:t>
      </w:r>
      <w:r w:rsidR="1E058EF9" w:rsidRPr="280D8D78">
        <w:rPr>
          <w:vertAlign w:val="subscript"/>
        </w:rPr>
        <w:t>simulation</w:t>
      </w:r>
      <w:r w:rsidR="1E058EF9">
        <w:t xml:space="preserve"> = 1000</w:t>
      </w:r>
      <w:r w:rsidR="313CA413">
        <w:t>)</w:t>
      </w:r>
      <w:r w:rsidR="200D7F2F">
        <w:t>. No inflation of false positives was highlighted (</w:t>
      </w:r>
      <w:r w:rsidR="42FBBD85">
        <w:t xml:space="preserve">47 </w:t>
      </w:r>
      <w:r w:rsidR="4DDF48F8">
        <w:t>out of 1000 runs were significant)</w:t>
      </w:r>
      <w:r w:rsidR="02CBA1E7">
        <w:t>.</w:t>
      </w:r>
    </w:p>
    <w:p w14:paraId="0C85CE74" w14:textId="77777777" w:rsidR="00545FCB" w:rsidRDefault="00545FCB" w:rsidP="00545FCB">
      <w:pPr>
        <w:spacing w:line="360" w:lineRule="auto"/>
        <w:rPr>
          <w:b/>
        </w:rPr>
      </w:pPr>
    </w:p>
    <w:p w14:paraId="789FFA93" w14:textId="77777777" w:rsidR="00F578D4" w:rsidRDefault="00F578D4" w:rsidP="00545FCB">
      <w:pPr>
        <w:spacing w:line="360" w:lineRule="auto"/>
        <w:rPr>
          <w:b/>
        </w:rPr>
      </w:pPr>
    </w:p>
    <w:p w14:paraId="4C12D506" w14:textId="77777777" w:rsidR="00F578D4" w:rsidRDefault="00F578D4" w:rsidP="00545FCB">
      <w:pPr>
        <w:spacing w:line="360" w:lineRule="auto"/>
        <w:rPr>
          <w:b/>
        </w:rPr>
        <w:sectPr w:rsidR="00F578D4" w:rsidSect="00F578D4">
          <w:footerReference w:type="default" r:id="rId10"/>
          <w:pgSz w:w="11906" w:h="16838"/>
          <w:pgMar w:top="1440" w:right="1440" w:bottom="1440" w:left="1440" w:header="708" w:footer="708" w:gutter="0"/>
          <w:cols w:space="708"/>
          <w:docGrid w:linePitch="360"/>
        </w:sectPr>
      </w:pPr>
    </w:p>
    <w:p w14:paraId="62C90C12" w14:textId="7E1B7A63" w:rsidR="000F2729" w:rsidRPr="002A09C1" w:rsidRDefault="00F578D4" w:rsidP="00F578D4">
      <w:pPr>
        <w:spacing w:line="360" w:lineRule="auto"/>
        <w:rPr>
          <w:b/>
        </w:rPr>
      </w:pPr>
      <w:r>
        <w:rPr>
          <w:b/>
        </w:rPr>
        <w:lastRenderedPageBreak/>
        <w:t>Supplementary Tables</w:t>
      </w:r>
    </w:p>
    <w:p w14:paraId="2B58EC01" w14:textId="07AE5C51" w:rsidR="00353FE8" w:rsidRDefault="00353FE8" w:rsidP="00353FE8">
      <w:pP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Supplementary Table S1</w:t>
      </w:r>
      <w:r w:rsidRPr="00353FE8">
        <w:rPr>
          <w:rFonts w:ascii="Calibri" w:eastAsia="Calibri" w:hAnsi="Calibri" w:cs="Calibri"/>
          <w:b/>
          <w:bCs/>
          <w:color w:val="000000" w:themeColor="text1"/>
          <w:sz w:val="22"/>
          <w:szCs w:val="22"/>
        </w:rPr>
        <w:t xml:space="preserve">: </w:t>
      </w:r>
      <w:r>
        <w:rPr>
          <w:rFonts w:ascii="Calibri" w:eastAsia="Calibri" w:hAnsi="Calibri" w:cs="Calibri"/>
          <w:b/>
          <w:bCs/>
          <w:color w:val="000000" w:themeColor="text1"/>
          <w:sz w:val="22"/>
          <w:szCs w:val="22"/>
        </w:rPr>
        <w:t>Inclusion and exclusion criteria</w:t>
      </w:r>
    </w:p>
    <w:p w14:paraId="4718333E" w14:textId="77777777" w:rsidR="000F2729" w:rsidRPr="00353FE8" w:rsidRDefault="000F2729" w:rsidP="00353FE8">
      <w:pPr>
        <w:rPr>
          <w:rFonts w:ascii="Calibri" w:eastAsia="Calibri" w:hAnsi="Calibri" w:cs="Calibri"/>
          <w:color w:val="000000" w:themeColor="text1"/>
          <w:sz w:val="22"/>
          <w:szCs w:val="22"/>
        </w:rPr>
      </w:pPr>
    </w:p>
    <w:tbl>
      <w:tblPr>
        <w:tblW w:w="14175" w:type="dxa"/>
        <w:tblLayout w:type="fixed"/>
        <w:tblLook w:val="06A0" w:firstRow="1" w:lastRow="0" w:firstColumn="1" w:lastColumn="0" w:noHBand="1" w:noVBand="1"/>
      </w:tblPr>
      <w:tblGrid>
        <w:gridCol w:w="1560"/>
        <w:gridCol w:w="3543"/>
        <w:gridCol w:w="2499"/>
        <w:gridCol w:w="3030"/>
        <w:gridCol w:w="3543"/>
      </w:tblGrid>
      <w:tr w:rsidR="0061716B" w:rsidRPr="00353FE8" w14:paraId="1FDC4F9B" w14:textId="77777777" w:rsidTr="000F2729">
        <w:trPr>
          <w:trHeight w:val="600"/>
        </w:trPr>
        <w:tc>
          <w:tcPr>
            <w:tcW w:w="1560" w:type="dxa"/>
            <w:tcBorders>
              <w:top w:val="single" w:sz="4" w:space="0" w:color="auto"/>
              <w:left w:val="nil"/>
              <w:bottom w:val="single" w:sz="4" w:space="0" w:color="auto"/>
              <w:right w:val="nil"/>
            </w:tcBorders>
            <w:vAlign w:val="center"/>
          </w:tcPr>
          <w:p w14:paraId="0D62AFB1"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Cohort</w:t>
            </w:r>
          </w:p>
        </w:tc>
        <w:tc>
          <w:tcPr>
            <w:tcW w:w="3543" w:type="dxa"/>
            <w:tcBorders>
              <w:top w:val="single" w:sz="4" w:space="0" w:color="auto"/>
              <w:left w:val="nil"/>
              <w:bottom w:val="single" w:sz="4" w:space="0" w:color="auto"/>
              <w:right w:val="nil"/>
            </w:tcBorders>
            <w:vAlign w:val="center"/>
          </w:tcPr>
          <w:p w14:paraId="1DFADE2A" w14:textId="77777777" w:rsidR="0061716B" w:rsidRPr="00353FE8" w:rsidRDefault="0061716B" w:rsidP="0061716B">
            <w:pPr>
              <w:jc w:val="center"/>
              <w:rPr>
                <w:rFonts w:ascii="Calibri" w:eastAsia="Calibri" w:hAnsi="Calibri" w:cs="Calibri"/>
                <w:b/>
                <w:bCs/>
                <w:color w:val="000000" w:themeColor="text1"/>
                <w:sz w:val="22"/>
                <w:szCs w:val="22"/>
              </w:rPr>
            </w:pPr>
            <w:r w:rsidRPr="00353FE8">
              <w:rPr>
                <w:rFonts w:ascii="Calibri" w:eastAsia="Calibri" w:hAnsi="Calibri" w:cs="Calibri"/>
                <w:b/>
                <w:bCs/>
                <w:color w:val="000000" w:themeColor="text1"/>
                <w:sz w:val="22"/>
                <w:szCs w:val="22"/>
              </w:rPr>
              <w:t>Exclusion criteria</w:t>
            </w:r>
          </w:p>
        </w:tc>
        <w:tc>
          <w:tcPr>
            <w:tcW w:w="2499" w:type="dxa"/>
            <w:tcBorders>
              <w:top w:val="single" w:sz="4" w:space="0" w:color="auto"/>
              <w:left w:val="nil"/>
              <w:bottom w:val="single" w:sz="4" w:space="0" w:color="auto"/>
              <w:right w:val="nil"/>
            </w:tcBorders>
            <w:vAlign w:val="center"/>
          </w:tcPr>
          <w:p w14:paraId="3C29A1F6" w14:textId="77777777" w:rsidR="0061716B" w:rsidRPr="00353FE8" w:rsidRDefault="0061716B" w:rsidP="0061716B">
            <w:pPr>
              <w:jc w:val="center"/>
              <w:rPr>
                <w:rFonts w:ascii="Calibri" w:eastAsia="Calibri" w:hAnsi="Calibri" w:cs="Calibri"/>
                <w:b/>
                <w:bCs/>
                <w:color w:val="000000" w:themeColor="text1"/>
                <w:sz w:val="22"/>
                <w:szCs w:val="22"/>
              </w:rPr>
            </w:pPr>
            <w:r w:rsidRPr="00353FE8">
              <w:rPr>
                <w:rFonts w:ascii="Calibri" w:eastAsia="Calibri" w:hAnsi="Calibri" w:cs="Calibri"/>
                <w:b/>
                <w:bCs/>
                <w:color w:val="000000" w:themeColor="text1"/>
                <w:sz w:val="22"/>
                <w:szCs w:val="22"/>
              </w:rPr>
              <w:t>Case definition</w:t>
            </w:r>
          </w:p>
        </w:tc>
        <w:tc>
          <w:tcPr>
            <w:tcW w:w="3030" w:type="dxa"/>
            <w:tcBorders>
              <w:top w:val="single" w:sz="4" w:space="0" w:color="auto"/>
              <w:left w:val="nil"/>
              <w:bottom w:val="single" w:sz="4" w:space="0" w:color="auto"/>
              <w:right w:val="nil"/>
            </w:tcBorders>
            <w:vAlign w:val="center"/>
          </w:tcPr>
          <w:p w14:paraId="243736C1" w14:textId="77777777" w:rsidR="0061716B" w:rsidRPr="00353FE8" w:rsidRDefault="0061716B" w:rsidP="0061716B">
            <w:pPr>
              <w:jc w:val="center"/>
              <w:rPr>
                <w:rFonts w:ascii="Calibri" w:eastAsia="Calibri" w:hAnsi="Calibri" w:cs="Calibri"/>
                <w:b/>
                <w:bCs/>
                <w:color w:val="000000" w:themeColor="text1"/>
                <w:sz w:val="22"/>
                <w:szCs w:val="22"/>
              </w:rPr>
            </w:pPr>
            <w:r w:rsidRPr="00353FE8">
              <w:rPr>
                <w:rFonts w:ascii="Calibri" w:eastAsia="Calibri" w:hAnsi="Calibri" w:cs="Calibri"/>
                <w:b/>
                <w:bCs/>
                <w:color w:val="000000" w:themeColor="text1"/>
                <w:sz w:val="22"/>
                <w:szCs w:val="22"/>
              </w:rPr>
              <w:t>Control definition</w:t>
            </w:r>
          </w:p>
        </w:tc>
        <w:tc>
          <w:tcPr>
            <w:tcW w:w="3543" w:type="dxa"/>
            <w:tcBorders>
              <w:top w:val="single" w:sz="4" w:space="0" w:color="auto"/>
              <w:left w:val="nil"/>
              <w:bottom w:val="single" w:sz="4" w:space="0" w:color="auto"/>
              <w:right w:val="nil"/>
            </w:tcBorders>
            <w:vAlign w:val="center"/>
          </w:tcPr>
          <w:p w14:paraId="289CBBC5" w14:textId="164EB5E8" w:rsidR="0061716B" w:rsidRPr="00353FE8" w:rsidRDefault="0061716B" w:rsidP="0061716B">
            <w:pPr>
              <w:jc w:val="center"/>
              <w:rPr>
                <w:rFonts w:ascii="Calibri" w:eastAsia="Calibri" w:hAnsi="Calibri" w:cs="Calibri"/>
                <w:b/>
                <w:bCs/>
                <w:color w:val="000000" w:themeColor="text1"/>
                <w:sz w:val="22"/>
                <w:szCs w:val="22"/>
              </w:rPr>
            </w:pPr>
            <w:r w:rsidRPr="00353FE8">
              <w:rPr>
                <w:rFonts w:ascii="Calibri" w:eastAsia="Calibri" w:hAnsi="Calibri" w:cs="Calibri"/>
                <w:b/>
                <w:bCs/>
                <w:color w:val="000000" w:themeColor="text1"/>
                <w:sz w:val="22"/>
                <w:szCs w:val="22"/>
              </w:rPr>
              <w:t>Reference</w:t>
            </w:r>
            <w:r w:rsidR="000F2729">
              <w:rPr>
                <w:rFonts w:ascii="Calibri" w:eastAsia="Calibri" w:hAnsi="Calibri" w:cs="Calibri"/>
                <w:b/>
                <w:bCs/>
                <w:color w:val="000000" w:themeColor="text1"/>
                <w:sz w:val="22"/>
                <w:szCs w:val="22"/>
              </w:rPr>
              <w:t xml:space="preserve"> for tasks used</w:t>
            </w:r>
          </w:p>
        </w:tc>
      </w:tr>
      <w:tr w:rsidR="0061716B" w:rsidRPr="00353FE8" w14:paraId="7C5FCB88" w14:textId="77777777" w:rsidTr="000F2729">
        <w:trPr>
          <w:trHeight w:val="3615"/>
        </w:trPr>
        <w:tc>
          <w:tcPr>
            <w:tcW w:w="1560" w:type="dxa"/>
            <w:tcBorders>
              <w:top w:val="single" w:sz="4" w:space="0" w:color="auto"/>
              <w:left w:val="nil"/>
            </w:tcBorders>
            <w:vAlign w:val="center"/>
          </w:tcPr>
          <w:p w14:paraId="61E6BB62"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ALSPAC Language </w:t>
            </w:r>
          </w:p>
        </w:tc>
        <w:tc>
          <w:tcPr>
            <w:tcW w:w="3543" w:type="dxa"/>
            <w:vMerge w:val="restart"/>
            <w:tcBorders>
              <w:top w:val="single" w:sz="4" w:space="0" w:color="auto"/>
              <w:left w:val="nil"/>
            </w:tcBorders>
            <w:vAlign w:val="center"/>
          </w:tcPr>
          <w:p w14:paraId="708FF350" w14:textId="47725AE1" w:rsidR="0061716B" w:rsidRDefault="000F2729"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061716B" w:rsidRPr="002A09C1">
              <w:rPr>
                <w:rFonts w:ascii="Calibri" w:eastAsia="Calibri" w:hAnsi="Calibri" w:cs="Calibri"/>
                <w:color w:val="000000" w:themeColor="text1"/>
                <w:sz w:val="22"/>
                <w:szCs w:val="22"/>
              </w:rPr>
              <w:t>erformance IQ</w:t>
            </w:r>
          </w:p>
          <w:p w14:paraId="483D15EB" w14:textId="2E333517" w:rsidR="0061716B" w:rsidRPr="002A09C1" w:rsidRDefault="0061716B" w:rsidP="0061716B">
            <w:pPr>
              <w:jc w:val="center"/>
              <w:rPr>
                <w:rFonts w:ascii="Calibri" w:eastAsia="Calibri" w:hAnsi="Calibri" w:cs="Calibri"/>
                <w:color w:val="000000" w:themeColor="text1"/>
                <w:sz w:val="22"/>
                <w:szCs w:val="22"/>
              </w:rPr>
            </w:pPr>
            <w:r w:rsidRPr="002A09C1">
              <w:rPr>
                <w:rFonts w:ascii="Calibri" w:eastAsia="Calibri" w:hAnsi="Calibri" w:cs="Calibri"/>
                <w:color w:val="000000" w:themeColor="text1"/>
                <w:sz w:val="22"/>
                <w:szCs w:val="22"/>
              </w:rPr>
              <w:t>WISC-I</w:t>
            </w:r>
            <w:r>
              <w:rPr>
                <w:rFonts w:ascii="Calibri" w:eastAsia="Calibri" w:hAnsi="Calibri" w:cs="Calibri"/>
                <w:color w:val="000000" w:themeColor="text1"/>
                <w:sz w:val="22"/>
                <w:szCs w:val="22"/>
              </w:rPr>
              <w:t>II</w:t>
            </w:r>
            <w:r w:rsidRPr="002A09C1">
              <w:rPr>
                <w:rFonts w:ascii="Calibri" w:eastAsia="Calibri" w:hAnsi="Calibri" w:cs="Calibri"/>
                <w:color w:val="000000" w:themeColor="text1"/>
                <w:sz w:val="22"/>
                <w:szCs w:val="22"/>
              </w:rPr>
              <w:t xml:space="preserve"> &lt;- 85</w:t>
            </w:r>
          </w:p>
          <w:p w14:paraId="6BAF82C7" w14:textId="6BE1333F" w:rsidR="0061716B" w:rsidRPr="00353FE8" w:rsidRDefault="0061716B" w:rsidP="0061716B">
            <w:pPr>
              <w:jc w:val="center"/>
              <w:rPr>
                <w:rFonts w:ascii="Calibri" w:eastAsia="Calibri" w:hAnsi="Calibri" w:cs="Calibri"/>
                <w:color w:val="000000" w:themeColor="text1"/>
                <w:sz w:val="22"/>
                <w:szCs w:val="22"/>
              </w:rPr>
            </w:pPr>
            <w:r w:rsidRPr="002A09C1">
              <w:rPr>
                <w:b/>
                <w:sz w:val="22"/>
                <w:szCs w:val="22"/>
              </w:rPr>
              <w:br/>
            </w:r>
          </w:p>
        </w:tc>
        <w:tc>
          <w:tcPr>
            <w:tcW w:w="2499" w:type="dxa"/>
            <w:tcBorders>
              <w:top w:val="single" w:sz="4" w:space="0" w:color="auto"/>
              <w:left w:val="nil"/>
              <w:right w:val="nil"/>
            </w:tcBorders>
            <w:vAlign w:val="center"/>
          </w:tcPr>
          <w:p w14:paraId="473906E0" w14:textId="54A7A918"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Two of the following:</w:t>
            </w:r>
          </w:p>
          <w:p w14:paraId="3F0EE07A" w14:textId="77777777" w:rsidR="0061716B" w:rsidRPr="00353FE8" w:rsidRDefault="0061716B" w:rsidP="0061716B">
            <w:pPr>
              <w:jc w:val="center"/>
              <w:rPr>
                <w:rFonts w:ascii="Calibri" w:eastAsia="Calibri" w:hAnsi="Calibri" w:cs="Calibri"/>
                <w:color w:val="000000" w:themeColor="text1"/>
                <w:sz w:val="22"/>
                <w:szCs w:val="22"/>
              </w:rPr>
            </w:pPr>
          </w:p>
          <w:p w14:paraId="59A69C35" w14:textId="77777777"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i) CCC &lt; -1SD</w:t>
            </w:r>
          </w:p>
          <w:p w14:paraId="71C99F81" w14:textId="0324FACB" w:rsidR="0061716B" w:rsidRDefault="0061716B" w:rsidP="0061716B">
            <w:pPr>
              <w:jc w:val="center"/>
              <w:rPr>
                <w:rFonts w:ascii="Calibri" w:eastAsia="Calibri" w:hAnsi="Calibri" w:cs="Calibri"/>
                <w:color w:val="000000" w:themeColor="text1"/>
                <w:sz w:val="22"/>
                <w:szCs w:val="22"/>
              </w:rPr>
            </w:pPr>
            <w:r w:rsidRPr="00353FE8">
              <w:rPr>
                <w:sz w:val="22"/>
                <w:szCs w:val="22"/>
              </w:rPr>
              <w:br/>
            </w:r>
            <w:r w:rsidRPr="00353FE8">
              <w:rPr>
                <w:rFonts w:ascii="Calibri" w:eastAsia="Calibri" w:hAnsi="Calibri" w:cs="Calibri"/>
                <w:color w:val="000000" w:themeColor="text1"/>
                <w:sz w:val="22"/>
                <w:szCs w:val="22"/>
              </w:rPr>
              <w:t xml:space="preserve">ii) </w:t>
            </w:r>
            <w:r>
              <w:rPr>
                <w:rFonts w:ascii="Calibri" w:eastAsia="Calibri" w:hAnsi="Calibri" w:cs="Calibri"/>
                <w:color w:val="000000" w:themeColor="text1"/>
                <w:sz w:val="22"/>
                <w:szCs w:val="22"/>
              </w:rPr>
              <w:t xml:space="preserve">WOLD </w:t>
            </w:r>
            <w:r w:rsidRPr="00353FE8">
              <w:rPr>
                <w:rFonts w:ascii="Calibri" w:eastAsia="Calibri" w:hAnsi="Calibri" w:cs="Calibri"/>
                <w:color w:val="000000" w:themeColor="text1"/>
                <w:sz w:val="22"/>
                <w:szCs w:val="22"/>
              </w:rPr>
              <w:t>&lt; -1 SD</w:t>
            </w:r>
          </w:p>
          <w:p w14:paraId="3CB5E1B6" w14:textId="77777777" w:rsidR="0061716B" w:rsidRPr="00353FE8" w:rsidRDefault="0061716B" w:rsidP="0061716B">
            <w:pPr>
              <w:jc w:val="center"/>
              <w:rPr>
                <w:rFonts w:ascii="Calibri" w:eastAsia="Calibri" w:hAnsi="Calibri" w:cs="Calibri"/>
                <w:color w:val="000000" w:themeColor="text1"/>
                <w:sz w:val="22"/>
                <w:szCs w:val="22"/>
              </w:rPr>
            </w:pPr>
          </w:p>
          <w:p w14:paraId="5EF919CA" w14:textId="0F8F550D"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 xml:space="preserve">iii) </w:t>
            </w:r>
            <w:r>
              <w:rPr>
                <w:rFonts w:ascii="Calibri" w:eastAsia="Calibri" w:hAnsi="Calibri" w:cs="Calibri"/>
                <w:color w:val="000000" w:themeColor="text1"/>
                <w:sz w:val="22"/>
                <w:szCs w:val="22"/>
              </w:rPr>
              <w:t>NWR</w:t>
            </w:r>
            <w:r w:rsidRPr="00353FE8">
              <w:rPr>
                <w:rFonts w:ascii="Calibri" w:eastAsia="Calibri" w:hAnsi="Calibri" w:cs="Calibri"/>
                <w:color w:val="000000" w:themeColor="text1"/>
                <w:sz w:val="22"/>
                <w:szCs w:val="22"/>
              </w:rPr>
              <w:t xml:space="preserve"> &lt; -1SD</w:t>
            </w:r>
          </w:p>
          <w:p w14:paraId="08BE8AB9" w14:textId="77777777" w:rsidR="0061716B" w:rsidRPr="00353FE8" w:rsidRDefault="0061716B" w:rsidP="0061716B">
            <w:pPr>
              <w:jc w:val="center"/>
              <w:rPr>
                <w:rFonts w:ascii="Calibri" w:eastAsia="Calibri" w:hAnsi="Calibri" w:cs="Calibri"/>
                <w:color w:val="000000" w:themeColor="text1"/>
                <w:sz w:val="22"/>
                <w:szCs w:val="22"/>
              </w:rPr>
            </w:pPr>
          </w:p>
          <w:p w14:paraId="155F3307"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iv) reporting need of speech/language therapy via a questionnaire</w:t>
            </w:r>
          </w:p>
        </w:tc>
        <w:tc>
          <w:tcPr>
            <w:tcW w:w="3030" w:type="dxa"/>
            <w:vMerge w:val="restart"/>
            <w:tcBorders>
              <w:top w:val="single" w:sz="4" w:space="0" w:color="auto"/>
              <w:left w:val="nil"/>
              <w:right w:val="nil"/>
            </w:tcBorders>
            <w:vAlign w:val="center"/>
          </w:tcPr>
          <w:p w14:paraId="4C6DBAD3" w14:textId="77777777"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CCC &gt; -0.25 SD</w:t>
            </w:r>
          </w:p>
          <w:p w14:paraId="00354274" w14:textId="40A4928F" w:rsidR="0061716B" w:rsidRDefault="0061716B" w:rsidP="0061716B">
            <w:pPr>
              <w:jc w:val="center"/>
              <w:rPr>
                <w:rFonts w:ascii="Calibri" w:eastAsia="Calibri" w:hAnsi="Calibri" w:cs="Calibri"/>
                <w:color w:val="000000" w:themeColor="text1"/>
                <w:sz w:val="22"/>
                <w:szCs w:val="22"/>
              </w:rPr>
            </w:pPr>
            <w:r w:rsidRPr="00353FE8">
              <w:rPr>
                <w:sz w:val="22"/>
                <w:szCs w:val="22"/>
              </w:rPr>
              <w:br/>
            </w:r>
            <w:r>
              <w:rPr>
                <w:rFonts w:ascii="Calibri" w:eastAsia="Calibri" w:hAnsi="Calibri" w:cs="Calibri"/>
                <w:color w:val="000000" w:themeColor="text1"/>
                <w:sz w:val="22"/>
                <w:szCs w:val="22"/>
              </w:rPr>
              <w:t>WOLD</w:t>
            </w:r>
            <w:r w:rsidRPr="00353FE8">
              <w:rPr>
                <w:rFonts w:ascii="Calibri" w:eastAsia="Calibri" w:hAnsi="Calibri" w:cs="Calibri"/>
                <w:color w:val="000000" w:themeColor="text1"/>
                <w:sz w:val="22"/>
                <w:szCs w:val="22"/>
              </w:rPr>
              <w:t xml:space="preserve"> &gt; -0.25 SD</w:t>
            </w:r>
          </w:p>
          <w:p w14:paraId="049751CB" w14:textId="77777777" w:rsidR="0061716B" w:rsidRPr="00353FE8" w:rsidRDefault="0061716B" w:rsidP="0061716B">
            <w:pPr>
              <w:jc w:val="center"/>
              <w:rPr>
                <w:rFonts w:ascii="Calibri" w:eastAsia="Calibri" w:hAnsi="Calibri" w:cs="Calibri"/>
                <w:color w:val="000000" w:themeColor="text1"/>
                <w:sz w:val="22"/>
                <w:szCs w:val="22"/>
              </w:rPr>
            </w:pPr>
          </w:p>
          <w:p w14:paraId="16430461" w14:textId="74713837"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NWR</w:t>
            </w:r>
            <w:r w:rsidRPr="00353FE8">
              <w:rPr>
                <w:rFonts w:ascii="Calibri" w:eastAsia="Calibri" w:hAnsi="Calibri" w:cs="Calibri"/>
                <w:color w:val="000000" w:themeColor="text1"/>
                <w:sz w:val="22"/>
                <w:szCs w:val="22"/>
              </w:rPr>
              <w:t xml:space="preserve"> &gt; -0.25</w:t>
            </w:r>
          </w:p>
          <w:p w14:paraId="36867AC3" w14:textId="77777777" w:rsidR="0061716B" w:rsidRPr="00353FE8" w:rsidRDefault="0061716B" w:rsidP="0061716B">
            <w:pPr>
              <w:jc w:val="center"/>
              <w:rPr>
                <w:rFonts w:ascii="Calibri" w:eastAsia="Calibri" w:hAnsi="Calibri" w:cs="Calibri"/>
                <w:color w:val="000000" w:themeColor="text1"/>
                <w:sz w:val="22"/>
                <w:szCs w:val="22"/>
              </w:rPr>
            </w:pPr>
          </w:p>
          <w:p w14:paraId="240BC579" w14:textId="287C076D"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Not reporting need of speech/language therapy via a questionnaire</w:t>
            </w:r>
          </w:p>
        </w:tc>
        <w:tc>
          <w:tcPr>
            <w:tcW w:w="3543" w:type="dxa"/>
            <w:vMerge w:val="restart"/>
            <w:tcBorders>
              <w:top w:val="single" w:sz="4" w:space="0" w:color="auto"/>
              <w:left w:val="nil"/>
              <w:right w:val="nil"/>
            </w:tcBorders>
            <w:vAlign w:val="center"/>
          </w:tcPr>
          <w:p w14:paraId="7AD400D0" w14:textId="4F2622BE"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Wechsler","given":"David","non-dropping-particle":"","parse-names":false,"suffix":""},{"dropping-particle":"","family":"Golombok","given":"S","non-dropping-particle":"","parse-names":false,"suffix":""},{"dropping-particle":"","family":"Rust","given":"J","non-dropping-particle":"","parse-names":false,"suffix":""}],"id":"ITEM-1","issued":{"date-parts":[["1992"]]},"publisher":"The Psycological Corporation","publisher-place":"Sidcup, UK","title":"WISC-IIIUK: Wechsler Intelligence Scale for Children.","type":"book"},"uris":["http://www.mendeley.com/documents/?uuid=3378730b-c0e7-42ee-a7b0-d1b52d969fdc"]}],"mendeley":{"formattedCitation":"(Wechsler, Golombok, &amp; Rust, 1992)","plainTextFormattedCitation":"(Wechsler, Golombok, &amp; Rust, 1992)","previouslyFormattedCitation":"(Wechsler, Golombok, &amp; Rust, 1992)"},"properties":{"noteIndex":0},"schema":"https://github.com/citation-style-language/schema/raw/master/csl-citation.json"}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D1771D">
              <w:rPr>
                <w:rFonts w:ascii="Calibri" w:eastAsia="Calibri" w:hAnsi="Calibri" w:cs="Calibri"/>
                <w:noProof/>
                <w:color w:val="000000" w:themeColor="text1"/>
                <w:sz w:val="22"/>
                <w:szCs w:val="22"/>
              </w:rPr>
              <w:t>(Wechsler, Golombok, &amp; Rust, 1992)</w:t>
            </w:r>
            <w:r>
              <w:rPr>
                <w:rFonts w:ascii="Calibri" w:eastAsia="Calibri" w:hAnsi="Calibri" w:cs="Calibri"/>
                <w:color w:val="000000" w:themeColor="text1"/>
                <w:sz w:val="22"/>
                <w:szCs w:val="22"/>
              </w:rPr>
              <w:fldChar w:fldCharType="end"/>
            </w:r>
            <w:r w:rsidRPr="00353FE8">
              <w:rPr>
                <w:sz w:val="22"/>
                <w:szCs w:val="22"/>
              </w:rPr>
              <w:t xml:space="preserve"> </w:t>
            </w:r>
            <w:r w:rsidRPr="00353FE8">
              <w:rPr>
                <w:sz w:val="22"/>
                <w:szCs w:val="22"/>
              </w:rPr>
              <w:br/>
            </w:r>
            <w:r w:rsidRPr="00353FE8">
              <w:rPr>
                <w:sz w:val="22"/>
                <w:szCs w:val="22"/>
              </w:rPr>
              <w:br/>
            </w: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{"citationItems":[{"id":"ITEM-1","itemData":{"ISBN":"0021-9630 (Print)\r0021-9630 (Linking)","PMID":"9758196","abstract":"The Children's Communication Checklist (CCC) was developed to assess aspects of communicative impairment that are not adequately evaluated by contemporary standardised language tests. These are predominantly pragmatic abnormalities seen in social communication, although other qualitative aspects of speech and language were also included. Some items covering social relationships and restricted interests were incorporated, so that the relationship between pragmatic difficulties and other characteristics of pervasive developmental disorders could be explored. Checklist ratings were obtained for 76 children aged 7 to 9 years, all of whom had received special education for language impairment. In 71 cases, 2 raters (usually a teacher and speech-language therapist) independently completed the checklist, making it possible to establish inter-rater reliability. From an initial pool of 93 items, 70 items, grouped into 9 scales, were retained. Five of the subscales were concerned with pragmatic aspects of communication. A composite pragmatic impairment scale formed from these subscales had inter-rater reliability and internal consistency of around .80. This composite discriminated between children with a school diagnosis of semantic-pragmatic disorder and those with other types of specific language impairment (SLI). The majority of children with pragmatic language impairments did not have any evidence of restricted interests or significant difficulties in the domains of social relationships.","author":[{"dropping-particle":"V","family":"Bishop","given":"D","non-dropping-particle":"","parse-names":false,"suffix":""}],"container-title":"J Child Psychol Psychiatry","edition":"1998/10/03","id":"ITEM-1","issue":"6","issued":{"date-parts":[["1998"]]},"language":"eng","note":"From Duplicate 2 (Development of the Children's Communication Checklist (CCC): a method for assessing qualitative aspects of communicative impairment in children - Bishop, D V)\n\nBishop, D V\nResearch Support, Non-U.S. Gov't\nEngland\nJournal of child psychology and psychiatry, and allied disciplines\nJ Child Psychol Psychiatry. 1998 Sep;39(6):879-91.","page":"879-891","title":"Development of the Children's Communication Checklist (CCC): a method for assessing qualitative aspects of communicative impairment in children","type":"article-journal","volume":"39"},"uris":["http://www.mendeley.com/documents/?uuid=2740aec2-9467-4666-85a2-3d3fb3ef2676"]}],"mendeley":{"formattedCitation":"(Bishop, 1998)","plainTextFormattedCitation":"(Bishop, 1998)","previouslyFormattedCitation":"(Bishop, 1998)"},"properties":{"noteIndex":0},"schema":"https://github.com/citation-style-language/schema/raw/master/csl-citation.json"}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8E55E8">
              <w:rPr>
                <w:rFonts w:ascii="Calibri" w:eastAsia="Calibri" w:hAnsi="Calibri" w:cs="Calibri"/>
                <w:noProof/>
                <w:color w:val="000000" w:themeColor="text1"/>
                <w:sz w:val="22"/>
                <w:szCs w:val="22"/>
              </w:rPr>
              <w:t>(Bishop, 1998)</w:t>
            </w:r>
            <w:r>
              <w:rPr>
                <w:rFonts w:ascii="Calibri" w:eastAsia="Calibri" w:hAnsi="Calibri" w:cs="Calibri"/>
                <w:color w:val="000000" w:themeColor="text1"/>
                <w:sz w:val="22"/>
                <w:szCs w:val="22"/>
              </w:rPr>
              <w:fldChar w:fldCharType="end"/>
            </w:r>
          </w:p>
          <w:p w14:paraId="30DD2AD1" w14:textId="77777777" w:rsidR="0061716B" w:rsidRDefault="0061716B" w:rsidP="0061716B">
            <w:pPr>
              <w:jc w:val="center"/>
              <w:rPr>
                <w:rFonts w:ascii="Calibri" w:eastAsia="Calibri" w:hAnsi="Calibri" w:cs="Calibri"/>
                <w:color w:val="000000" w:themeColor="text1"/>
                <w:sz w:val="22"/>
                <w:szCs w:val="22"/>
              </w:rPr>
            </w:pPr>
          </w:p>
          <w:p w14:paraId="4EFDB713" w14:textId="1D4E2695"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{"citationItems":[{"id":"ITEM-1","itemData":{"author":[{"dropping-particle":"","family":"Rust","given":"John","non-dropping-particle":"","parse-names":false,"suffix":""}],"id":"ITEM-1","issued":{"date-parts":[["1996"]]},"publisher":"he Psychological Corporation","publisher-place":"London, UK","title":"WOLD Wechsler Objective Language Dimensions Manual","type":"book"},"uris":["http://www.mendeley.com/documents/?uuid=c40ec2c9-145b-49e7-a1fb-26e2ee213db5"]}],"mendeley":{"formattedCitation":"(Rust, 1996)","plainTextFormattedCitation":"(Rust, 1996)","previouslyFormattedCitation":"(Rust, 1996)"},"properties":{"noteIndex":0},"schema":"https://github.com/citation-style-language/schema/raw/master/csl-citation.json"}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2A09C1">
              <w:rPr>
                <w:rFonts w:ascii="Calibri" w:eastAsia="Calibri" w:hAnsi="Calibri" w:cs="Calibri"/>
                <w:noProof/>
                <w:color w:val="000000" w:themeColor="text1"/>
                <w:sz w:val="22"/>
                <w:szCs w:val="22"/>
              </w:rPr>
              <w:t>(Rust, 1996)</w:t>
            </w:r>
            <w:r>
              <w:rPr>
                <w:rFonts w:ascii="Calibri" w:eastAsia="Calibri" w:hAnsi="Calibri" w:cs="Calibri"/>
                <w:color w:val="000000" w:themeColor="text1"/>
                <w:sz w:val="22"/>
                <w:szCs w:val="22"/>
              </w:rPr>
              <w:fldChar w:fldCharType="end"/>
            </w:r>
          </w:p>
          <w:p w14:paraId="0D834988" w14:textId="77777777" w:rsidR="0061716B" w:rsidRDefault="0061716B" w:rsidP="0061716B">
            <w:pPr>
              <w:jc w:val="center"/>
              <w:rPr>
                <w:rFonts w:ascii="Calibri" w:eastAsia="Calibri" w:hAnsi="Calibri" w:cs="Calibri"/>
                <w:color w:val="000000" w:themeColor="text1"/>
                <w:sz w:val="22"/>
                <w:szCs w:val="22"/>
              </w:rPr>
            </w:pPr>
          </w:p>
          <w:p w14:paraId="589BEF35" w14:textId="1EE74D44"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{"citationItems":[{"id":"ITEM-1","itemData":{"DOI":"10.1080/09658219408258940","ISBN":"0965-8211 (Print)\r0965-8211 (Linking)","ISSN":"14640686","PMID":"7584287","abstract":"This article presents findings from the Children's Test of Nonword Repetition (CNRep). Normative data based on its administration to over 600 children aged between four and nine years are reported. Close developmental links are established between CNRep scores and vocabulary, reading, and comprehensive skills in children during the early school years. The links between nonword repetition and language skills are shown to be consistently higher and more specific than those obtained between language skills and another simple verbal task with a significant phonological memory component, auditory digit span. The psychological mechanisms underpinning these distinctive developmental relationships between nonword repetition and language development are considered.","author":[{"dropping-particle":"","family":"Gathercole","given":"Susan E.","non-dropping-particle":"","parse-names":false,"suffix":""},{"dropping-particle":"","family":"Willis","given":"Catherine S.","non-dropping-particle":"","parse-names":false,"suffix":""},{"dropping-particle":"","family":"Baddeley","given":"Alan D.","non-dropping-particle":"","parse-names":false,"suffix":""},{"dropping-particle":"","family":"Emslie","given":"Hazel","non-dropping-particle":"","parse-names":false,"suffix":""}],"container-title":"Memory","edition":"1994/06/01","id":"ITEM-1","issue":"2","issued":{"date-parts":[["1994"]]},"language":"eng","note":"From Duplicate 1 (The Children's Test of Nonword Repetition: a test of phonological working memory - Gathercole, S E; Willis, C S; Baddeley, A D; Emslie, H)\n\nGathercole, S E\nWillis, C S\nBaddeley, A D\nEmslie, H\nResearch Support, Non-U.S. Gov't\nEngland\nMemory (Hove, England)\nMemory. 1994 Jun;2(2):103-27.","page":"103-127","title":"The Children's Test of Nonword Repetition: a test of phonological working memory","type":"article-journal","volume":"2"},"uris":["http://www.mendeley.com/documents/?uuid=031fc249-3979-47d0-847f-83901371073f"]}],"mendeley":{"formattedCitation":"(Gathercole, Willis, Baddeley, &amp; Emslie, 1994)","plainTextFormattedCitation":"(Gathercole, Willis, Baddeley, &amp; Emslie, 1994)","previouslyFormattedCitation":"(Gathercole, Willis, Baddeley, &amp; Emslie, 1994)"},"properties":{"noteIndex":0},"schema":"https://github.com/citation-style-language/schema/raw/master/csl-citation.json"}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2A09C1">
              <w:rPr>
                <w:rFonts w:ascii="Calibri" w:eastAsia="Calibri" w:hAnsi="Calibri" w:cs="Calibri"/>
                <w:noProof/>
                <w:color w:val="000000" w:themeColor="text1"/>
                <w:sz w:val="22"/>
                <w:szCs w:val="22"/>
              </w:rPr>
              <w:t>(Gathercole, Willis, Baddeley, &amp; Emslie, 1994)</w:t>
            </w:r>
            <w:r>
              <w:rPr>
                <w:rFonts w:ascii="Calibri" w:eastAsia="Calibri" w:hAnsi="Calibri" w:cs="Calibri"/>
                <w:color w:val="000000" w:themeColor="text1"/>
                <w:sz w:val="22"/>
                <w:szCs w:val="22"/>
              </w:rPr>
              <w:fldChar w:fldCharType="end"/>
            </w:r>
          </w:p>
          <w:p w14:paraId="2A8BDD41" w14:textId="77777777" w:rsidR="0061716B" w:rsidRDefault="0061716B" w:rsidP="0061716B">
            <w:pPr>
              <w:jc w:val="center"/>
              <w:rPr>
                <w:rFonts w:ascii="Calibri" w:eastAsia="Calibri" w:hAnsi="Calibri" w:cs="Calibri"/>
                <w:color w:val="000000" w:themeColor="text1"/>
                <w:sz w:val="22"/>
                <w:szCs w:val="22"/>
              </w:rPr>
            </w:pPr>
          </w:p>
          <w:p w14:paraId="121CF7EC" w14:textId="0024A912"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Rust","given":"John","non-dropping-particle":"","parse-names":false,"suffix":""},{"dropping-particle":"","family":"Golombok","given":"S","non-dropping-particle":"","parse-names":false,"suffix":""},{"dropping-particle":"","family":"Trickey","given":"G","non-dropping-particle":"","parse-names":false,"suffix":""}],"id":"ITEM-1","issued":{"date-parts":[["1993"]]},"publisher":"Psychological Corporation","publisher-place":"Sidcup, UK","title":"WORD: Wechsler Objective Reading Dimensional Manual","type":"book"},"uris":["http://www.mendeley.com/documents/?uuid=b8fa0a5a-0f10-4d70-81b6-555fca716f0c"]}],"mendeley":{"formattedCitation":"(Rust, Golombok, &amp; Trickey, 1993)","plainTextFormattedCitation":"(Rust, Golombok, &amp; Trickey, 1993)","previouslyFormattedCitation":"(Rust, Golombok, &amp; Trickey, 1993)"},"properties":{"noteIndex":0},"schema":"https://github.com/citation-style-language/schema/raw/master/csl-citation.json"}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2A09C1">
              <w:rPr>
                <w:rFonts w:ascii="Calibri" w:eastAsia="Calibri" w:hAnsi="Calibri" w:cs="Calibri"/>
                <w:noProof/>
                <w:color w:val="000000" w:themeColor="text1"/>
                <w:sz w:val="22"/>
                <w:szCs w:val="22"/>
              </w:rPr>
              <w:t>(Rust, Golombok, &amp; Trickey, 1993)</w:t>
            </w:r>
            <w:r>
              <w:rPr>
                <w:rFonts w:ascii="Calibri" w:eastAsia="Calibri" w:hAnsi="Calibri" w:cs="Calibri"/>
                <w:color w:val="000000" w:themeColor="text1"/>
                <w:sz w:val="22"/>
                <w:szCs w:val="22"/>
              </w:rPr>
              <w:fldChar w:fldCharType="end"/>
            </w:r>
          </w:p>
        </w:tc>
      </w:tr>
      <w:tr w:rsidR="0061716B" w:rsidRPr="00353FE8" w14:paraId="19EED41E" w14:textId="77777777" w:rsidTr="000F2729">
        <w:trPr>
          <w:trHeight w:val="300"/>
        </w:trPr>
        <w:tc>
          <w:tcPr>
            <w:tcW w:w="1560" w:type="dxa"/>
            <w:tcBorders>
              <w:left w:val="nil"/>
              <w:bottom w:val="single" w:sz="6" w:space="0" w:color="7F7F7F" w:themeColor="text1" w:themeTint="80"/>
            </w:tcBorders>
            <w:vAlign w:val="center"/>
          </w:tcPr>
          <w:p w14:paraId="02102675"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ALSPAC Reading </w:t>
            </w:r>
          </w:p>
        </w:tc>
        <w:tc>
          <w:tcPr>
            <w:tcW w:w="3543" w:type="dxa"/>
            <w:vMerge/>
            <w:tcBorders>
              <w:left w:val="nil"/>
              <w:bottom w:val="single" w:sz="6" w:space="0" w:color="7F7F7F" w:themeColor="text1" w:themeTint="80"/>
            </w:tcBorders>
            <w:vAlign w:val="center"/>
          </w:tcPr>
          <w:p w14:paraId="40A00855" w14:textId="1F512B5E" w:rsidR="0061716B" w:rsidRPr="00353FE8" w:rsidRDefault="0061716B" w:rsidP="0061716B">
            <w:pPr>
              <w:jc w:val="center"/>
              <w:rPr>
                <w:rFonts w:ascii="Calibri" w:eastAsia="Calibri" w:hAnsi="Calibri" w:cs="Calibri"/>
                <w:color w:val="000000" w:themeColor="text1"/>
                <w:sz w:val="22"/>
                <w:szCs w:val="22"/>
              </w:rPr>
            </w:pPr>
          </w:p>
        </w:tc>
        <w:tc>
          <w:tcPr>
            <w:tcW w:w="2499" w:type="dxa"/>
            <w:tcBorders>
              <w:left w:val="nil"/>
              <w:bottom w:val="single" w:sz="6" w:space="0" w:color="7F7F7F" w:themeColor="text1" w:themeTint="80"/>
              <w:right w:val="nil"/>
            </w:tcBorders>
            <w:vAlign w:val="center"/>
          </w:tcPr>
          <w:p w14:paraId="29DC57E3" w14:textId="7F51EA22"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WORD age 7 &lt; -1SD</w:t>
            </w:r>
          </w:p>
          <w:p w14:paraId="6DF83844" w14:textId="77777777" w:rsidR="0061716B" w:rsidRDefault="0061716B" w:rsidP="0061716B">
            <w:pPr>
              <w:jc w:val="center"/>
              <w:rPr>
                <w:rFonts w:ascii="Calibri" w:eastAsia="Calibri" w:hAnsi="Calibri" w:cs="Calibri"/>
                <w:color w:val="000000" w:themeColor="text1"/>
                <w:sz w:val="22"/>
                <w:szCs w:val="22"/>
              </w:rPr>
            </w:pPr>
          </w:p>
          <w:p w14:paraId="566C76B4" w14:textId="25360EA6"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WORD </w:t>
            </w:r>
            <w:r w:rsidRPr="00353FE8">
              <w:rPr>
                <w:rFonts w:ascii="Calibri" w:eastAsia="Calibri" w:hAnsi="Calibri" w:cs="Calibri"/>
                <w:color w:val="000000" w:themeColor="text1"/>
                <w:sz w:val="22"/>
                <w:szCs w:val="22"/>
              </w:rPr>
              <w:t>age 9 &lt; -1SD</w:t>
            </w:r>
          </w:p>
        </w:tc>
        <w:tc>
          <w:tcPr>
            <w:tcW w:w="3030" w:type="dxa"/>
            <w:vMerge/>
            <w:tcBorders>
              <w:left w:val="nil"/>
              <w:bottom w:val="single" w:sz="6" w:space="0" w:color="7F7F7F" w:themeColor="text1" w:themeTint="80"/>
              <w:right w:val="nil"/>
            </w:tcBorders>
            <w:vAlign w:val="center"/>
          </w:tcPr>
          <w:p w14:paraId="387EEBEF" w14:textId="72E40939" w:rsidR="0061716B" w:rsidRPr="00353FE8" w:rsidRDefault="0061716B" w:rsidP="0061716B">
            <w:pPr>
              <w:jc w:val="center"/>
              <w:rPr>
                <w:rFonts w:ascii="Calibri" w:eastAsia="Calibri" w:hAnsi="Calibri" w:cs="Calibri"/>
                <w:color w:val="000000" w:themeColor="text1"/>
                <w:sz w:val="22"/>
                <w:szCs w:val="22"/>
              </w:rPr>
            </w:pPr>
          </w:p>
        </w:tc>
        <w:tc>
          <w:tcPr>
            <w:tcW w:w="3543" w:type="dxa"/>
            <w:vMerge/>
            <w:tcBorders>
              <w:left w:val="nil"/>
              <w:bottom w:val="single" w:sz="6" w:space="0" w:color="7F7F7F" w:themeColor="text1" w:themeTint="80"/>
              <w:right w:val="nil"/>
            </w:tcBorders>
            <w:vAlign w:val="center"/>
          </w:tcPr>
          <w:p w14:paraId="1610B4A5" w14:textId="498BE69D" w:rsidR="0061716B" w:rsidRPr="00353FE8" w:rsidRDefault="0061716B" w:rsidP="0061716B">
            <w:pPr>
              <w:jc w:val="center"/>
              <w:rPr>
                <w:rFonts w:ascii="Calibri" w:eastAsia="Calibri" w:hAnsi="Calibri" w:cs="Calibri"/>
                <w:color w:val="000000" w:themeColor="text1"/>
                <w:sz w:val="22"/>
                <w:szCs w:val="22"/>
              </w:rPr>
            </w:pPr>
          </w:p>
        </w:tc>
      </w:tr>
      <w:tr w:rsidR="0061716B" w:rsidRPr="00353FE8" w14:paraId="1C345500" w14:textId="77777777" w:rsidTr="000F2729">
        <w:trPr>
          <w:trHeight w:val="300"/>
        </w:trPr>
        <w:tc>
          <w:tcPr>
            <w:tcW w:w="1560" w:type="dxa"/>
            <w:tcBorders>
              <w:top w:val="single" w:sz="6" w:space="0" w:color="7F7F7F" w:themeColor="text1" w:themeTint="80"/>
              <w:left w:val="nil"/>
              <w:bottom w:val="single" w:sz="6" w:space="0" w:color="7F7F7F" w:themeColor="text1" w:themeTint="80"/>
              <w:right w:val="nil"/>
            </w:tcBorders>
            <w:vAlign w:val="center"/>
          </w:tcPr>
          <w:p w14:paraId="7A4C42E2"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IOWA </w:t>
            </w:r>
          </w:p>
        </w:tc>
        <w:tc>
          <w:tcPr>
            <w:tcW w:w="3543" w:type="dxa"/>
            <w:tcBorders>
              <w:top w:val="single" w:sz="6" w:space="0" w:color="7F7F7F" w:themeColor="text1" w:themeTint="80"/>
              <w:left w:val="nil"/>
              <w:bottom w:val="single" w:sz="6" w:space="0" w:color="7F7F7F" w:themeColor="text1" w:themeTint="80"/>
              <w:right w:val="nil"/>
            </w:tcBorders>
            <w:vAlign w:val="center"/>
          </w:tcPr>
          <w:p w14:paraId="08BA3BAA" w14:textId="6E8E244B"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5AAEDCF3" w14:textId="293F2F39"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WISC-IV &lt; 85</w:t>
            </w:r>
          </w:p>
        </w:tc>
        <w:tc>
          <w:tcPr>
            <w:tcW w:w="2499" w:type="dxa"/>
            <w:tcBorders>
              <w:top w:val="single" w:sz="6" w:space="0" w:color="7F7F7F" w:themeColor="text1" w:themeTint="80"/>
              <w:left w:val="nil"/>
              <w:bottom w:val="single" w:sz="6" w:space="0" w:color="7F7F7F" w:themeColor="text1" w:themeTint="80"/>
              <w:right w:val="nil"/>
            </w:tcBorders>
            <w:vAlign w:val="center"/>
          </w:tcPr>
          <w:p w14:paraId="015F3212" w14:textId="7443328B"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TOLD &lt; -1 SD</w:t>
            </w:r>
          </w:p>
        </w:tc>
        <w:tc>
          <w:tcPr>
            <w:tcW w:w="3030" w:type="dxa"/>
            <w:tcBorders>
              <w:top w:val="single" w:sz="6" w:space="0" w:color="7F7F7F" w:themeColor="text1" w:themeTint="80"/>
              <w:left w:val="nil"/>
              <w:bottom w:val="single" w:sz="6" w:space="0" w:color="7F7F7F" w:themeColor="text1" w:themeTint="80"/>
              <w:right w:val="nil"/>
            </w:tcBorders>
            <w:vAlign w:val="center"/>
          </w:tcPr>
          <w:p w14:paraId="3C107D35" w14:textId="022895B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 xml:space="preserve">TOLD </w:t>
            </w:r>
            <w:r>
              <w:rPr>
                <w:rFonts w:ascii="Calibri" w:eastAsia="Calibri" w:hAnsi="Calibri" w:cs="Calibri"/>
                <w:color w:val="000000" w:themeColor="text1"/>
                <w:sz w:val="22"/>
                <w:szCs w:val="22"/>
              </w:rPr>
              <w:t xml:space="preserve"> </w:t>
            </w:r>
            <w:r w:rsidRPr="00353FE8">
              <w:rPr>
                <w:rFonts w:ascii="Calibri" w:eastAsia="Calibri" w:hAnsi="Calibri" w:cs="Calibri"/>
                <w:color w:val="000000" w:themeColor="text1"/>
                <w:sz w:val="22"/>
                <w:szCs w:val="22"/>
              </w:rPr>
              <w:t>&gt; 0</w:t>
            </w:r>
          </w:p>
        </w:tc>
        <w:tc>
          <w:tcPr>
            <w:tcW w:w="3543" w:type="dxa"/>
            <w:tcBorders>
              <w:top w:val="single" w:sz="6" w:space="0" w:color="7F7F7F" w:themeColor="text1" w:themeTint="80"/>
              <w:left w:val="nil"/>
              <w:bottom w:val="single" w:sz="6" w:space="0" w:color="7F7F7F" w:themeColor="text1" w:themeTint="80"/>
              <w:right w:val="nil"/>
            </w:tcBorders>
            <w:vAlign w:val="center"/>
          </w:tcPr>
          <w:p w14:paraId="06E16750" w14:textId="77777777" w:rsidR="000F2729" w:rsidRDefault="0061716B" w:rsidP="0061716B">
            <w:pPr>
              <w:jc w:val="center"/>
              <w:rPr>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{"citationItems":[{"id":"ITEM-1","itemData":{"author":[{"dropping-particle":"","family":"Wechsler","given":"David","non-dropping-particle":"","parse-names":false,"suffix":""}],"container-title":"The Psychological Corporation San Antonio, TX","id":"ITEM-1","issued":{"date-parts":[["2012"]]},"title":"Wechsler preschool and primary scale of intelligence—fourth edition","type":"article-journal"},"uris":["http://www.mendeley.com/documents/?uuid=5f6a175e-3687-4bc5-8524-56b44d8df8a8"]}],"mendeley":{"formattedCitation":"(Wechsler, 2012)","plainTextFormattedCitation":"(Wechsler, 2012)","previouslyFormattedCitation":"(Wechsler, 2012)"},"properties":{"noteIndex":0},"schema":"https://github.com/citation-style-language/schema/raw/master/csl-citation.json"}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2A09C1">
              <w:rPr>
                <w:rFonts w:ascii="Calibri" w:eastAsia="Calibri" w:hAnsi="Calibri" w:cs="Calibri"/>
                <w:noProof/>
                <w:color w:val="000000" w:themeColor="text1"/>
                <w:sz w:val="22"/>
                <w:szCs w:val="22"/>
              </w:rPr>
              <w:t>(Wechsler, 2012)</w:t>
            </w:r>
            <w:r>
              <w:rPr>
                <w:rFonts w:ascii="Calibri" w:eastAsia="Calibri" w:hAnsi="Calibri" w:cs="Calibri"/>
                <w:color w:val="000000" w:themeColor="text1"/>
                <w:sz w:val="22"/>
                <w:szCs w:val="22"/>
              </w:rPr>
              <w:fldChar w:fldCharType="end"/>
            </w:r>
            <w:r w:rsidRPr="00353FE8">
              <w:rPr>
                <w:sz w:val="22"/>
                <w:szCs w:val="22"/>
              </w:rPr>
              <w:t xml:space="preserve"> </w:t>
            </w:r>
          </w:p>
          <w:p w14:paraId="211ACCED" w14:textId="1C4B113F" w:rsidR="0061716B" w:rsidRPr="00353FE8" w:rsidRDefault="0061716B" w:rsidP="0061716B">
            <w:pPr>
              <w:jc w:val="center"/>
              <w:rPr>
                <w:rFonts w:ascii="Calibri" w:eastAsia="Calibri" w:hAnsi="Calibri" w:cs="Calibri"/>
                <w:color w:val="000000" w:themeColor="text1"/>
                <w:sz w:val="22"/>
                <w:szCs w:val="22"/>
              </w:rPr>
            </w:pPr>
            <w:r w:rsidRPr="00353FE8">
              <w:rPr>
                <w:sz w:val="22"/>
                <w:szCs w:val="22"/>
              </w:rPr>
              <w:br/>
            </w:r>
            <w:r>
              <w:rPr>
                <w:sz w:val="22"/>
                <w:szCs w:val="22"/>
              </w:rPr>
              <w:fldChar w:fldCharType="begin" w:fldLock="1"/>
            </w:r>
            <w:r>
              <w:rPr>
                <w:sz w:val="22"/>
                <w:szCs w:val="22"/>
              </w:rPr>
              <w:instrText>ADDIN CSL_CITATION {"citationItems":[{"id":"ITEM-1","itemData":{"DOI":"10.1044/0161-1461.1402.66","ISSN":"0161-1461","abstract":"This study investigated the use of a story retelling task as a mechanism for screening integrated communicative performance. Comparisons were made between story retelling performance and performance on two standardized screening tools for kindergarten, readiness, and first-grade children. Results suggest that story retelling is a more stringent measure of integrated communicative performance.","author":[{"dropping-particle":"","family":"Culatta","given":"Barbara","non-dropping-particle":"","parse-names":false,"suffix":""},{"dropping-particle":"","family":"Page","given":"Judith L.","non-dropping-particle":"","parse-names":false,"suffix":""},{"dropping-particle":"","family":"Ellis","given":"Jane","non-dropping-particle":"","parse-names":false,"suffix":""}],"container-title":"Language, Speech, and Hearing Services in Schools","id":"ITEM-1","issued":{"date-parts":[["1983"]]},"title":"Story Retelling as a Communicative Performance Screening Tool","type":"article-journal"},"uris":["http://www.mendeley.com/documents/?uuid=9e62fc5c-8aa3-4371-b5e5-eceeff5b0910"]}],"mendeley":{"formattedCitation":"(Culatta, Page, &amp; Ellis, 1983)","plainTextFormattedCitation":"(Culatta, Page, &amp; Ellis, 1983)","previouslyFormattedCitation":"(Culatta, Page, &amp; Ellis, 1983)"},"properties":{"noteIndex":0},"schema":"https://github.com/citation-style-language/schema/raw/master/csl-citation.json"}</w:instrText>
            </w:r>
            <w:r>
              <w:rPr>
                <w:sz w:val="22"/>
                <w:szCs w:val="22"/>
              </w:rPr>
              <w:fldChar w:fldCharType="separate"/>
            </w:r>
            <w:r w:rsidRPr="002A09C1">
              <w:rPr>
                <w:noProof/>
                <w:sz w:val="22"/>
                <w:szCs w:val="22"/>
              </w:rPr>
              <w:t>(Culatta, Page, &amp; Ellis, 1983)</w:t>
            </w:r>
            <w:r>
              <w:rPr>
                <w:sz w:val="22"/>
                <w:szCs w:val="22"/>
              </w:rPr>
              <w:fldChar w:fldCharType="end"/>
            </w:r>
          </w:p>
        </w:tc>
      </w:tr>
      <w:tr w:rsidR="0061716B" w:rsidRPr="00353FE8" w14:paraId="7B776A07" w14:textId="77777777" w:rsidTr="000F2729">
        <w:trPr>
          <w:trHeight w:val="300"/>
        </w:trPr>
        <w:tc>
          <w:tcPr>
            <w:tcW w:w="1560" w:type="dxa"/>
            <w:tcBorders>
              <w:top w:val="single" w:sz="6" w:space="0" w:color="7F7F7F" w:themeColor="text1" w:themeTint="80"/>
              <w:left w:val="nil"/>
              <w:bottom w:val="single" w:sz="6" w:space="0" w:color="7F7F7F" w:themeColor="text1" w:themeTint="80"/>
              <w:right w:val="nil"/>
            </w:tcBorders>
            <w:vAlign w:val="center"/>
          </w:tcPr>
          <w:p w14:paraId="25567625" w14:textId="77777777" w:rsidR="000F2729" w:rsidRDefault="000F2729" w:rsidP="0061716B">
            <w:pPr>
              <w:jc w:val="center"/>
              <w:rPr>
                <w:rFonts w:ascii="Calibri" w:eastAsia="Calibri" w:hAnsi="Calibri" w:cs="Calibri"/>
                <w:b/>
                <w:bCs/>
                <w:color w:val="000000" w:themeColor="text1"/>
                <w:sz w:val="22"/>
                <w:szCs w:val="22"/>
              </w:rPr>
            </w:pPr>
          </w:p>
          <w:p w14:paraId="04EAF9C8" w14:textId="77777777" w:rsidR="000F2729" w:rsidRDefault="0061716B" w:rsidP="0061716B">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NTR</w:t>
            </w:r>
          </w:p>
          <w:p w14:paraId="1EAD9D9F" w14:textId="7260C177" w:rsidR="0061716B" w:rsidRPr="00353FE8" w:rsidRDefault="0061716B" w:rsidP="0061716B">
            <w:pPr>
              <w:jc w:val="center"/>
              <w:rPr>
                <w:rFonts w:ascii="Calibri" w:eastAsia="Calibri" w:hAnsi="Calibri" w:cs="Calibri"/>
                <w:color w:val="000000" w:themeColor="text1"/>
                <w:sz w:val="22"/>
                <w:szCs w:val="22"/>
              </w:rPr>
            </w:pPr>
          </w:p>
        </w:tc>
        <w:tc>
          <w:tcPr>
            <w:tcW w:w="3543" w:type="dxa"/>
            <w:tcBorders>
              <w:top w:val="single" w:sz="6" w:space="0" w:color="7F7F7F" w:themeColor="text1" w:themeTint="80"/>
              <w:left w:val="nil"/>
              <w:bottom w:val="single" w:sz="6" w:space="0" w:color="7F7F7F" w:themeColor="text1" w:themeTint="80"/>
              <w:right w:val="nil"/>
            </w:tcBorders>
            <w:vAlign w:val="center"/>
          </w:tcPr>
          <w:p w14:paraId="4950A953" w14:textId="6468E31B" w:rsidR="0061716B" w:rsidRPr="00353FE8" w:rsidRDefault="0061716B" w:rsidP="0061716B">
            <w:pPr>
              <w:jc w:val="center"/>
              <w:rPr>
                <w:rFonts w:ascii="Calibri" w:eastAsia="Calibri" w:hAnsi="Calibri" w:cs="Calibri"/>
                <w:color w:val="000000" w:themeColor="text1"/>
                <w:sz w:val="22"/>
                <w:szCs w:val="22"/>
              </w:rPr>
            </w:pPr>
          </w:p>
        </w:tc>
        <w:tc>
          <w:tcPr>
            <w:tcW w:w="2499" w:type="dxa"/>
            <w:tcBorders>
              <w:top w:val="single" w:sz="6" w:space="0" w:color="7F7F7F" w:themeColor="text1" w:themeTint="80"/>
              <w:left w:val="nil"/>
              <w:bottom w:val="single" w:sz="6" w:space="0" w:color="7F7F7F" w:themeColor="text1" w:themeTint="80"/>
              <w:right w:val="nil"/>
            </w:tcBorders>
            <w:vAlign w:val="center"/>
          </w:tcPr>
          <w:p w14:paraId="367CAAB9"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National score &lt; -1.28 SD</w:t>
            </w:r>
          </w:p>
        </w:tc>
        <w:tc>
          <w:tcPr>
            <w:tcW w:w="3030" w:type="dxa"/>
            <w:tcBorders>
              <w:top w:val="single" w:sz="6" w:space="0" w:color="7F7F7F" w:themeColor="text1" w:themeTint="80"/>
              <w:left w:val="nil"/>
              <w:bottom w:val="single" w:sz="6" w:space="0" w:color="7F7F7F" w:themeColor="text1" w:themeTint="80"/>
              <w:right w:val="nil"/>
            </w:tcBorders>
            <w:shd w:val="clear" w:color="auto" w:fill="auto"/>
            <w:vAlign w:val="center"/>
          </w:tcPr>
          <w:p w14:paraId="67AE3F51" w14:textId="77777777" w:rsidR="0061716B" w:rsidRPr="00353FE8" w:rsidRDefault="0061716B" w:rsidP="0061716B">
            <w:pPr>
              <w:jc w:val="center"/>
              <w:rPr>
                <w:rFonts w:ascii="Calibri" w:eastAsia="Calibri" w:hAnsi="Calibri" w:cs="Calibri"/>
                <w:color w:val="000000" w:themeColor="text1"/>
                <w:sz w:val="22"/>
                <w:szCs w:val="22"/>
                <w:highlight w:val="yellow"/>
              </w:rPr>
            </w:pPr>
          </w:p>
        </w:tc>
        <w:tc>
          <w:tcPr>
            <w:tcW w:w="3543" w:type="dxa"/>
            <w:tcBorders>
              <w:top w:val="single" w:sz="6" w:space="0" w:color="7F7F7F" w:themeColor="text1" w:themeTint="80"/>
              <w:left w:val="nil"/>
              <w:bottom w:val="single" w:sz="6" w:space="0" w:color="7F7F7F" w:themeColor="text1" w:themeTint="80"/>
              <w:right w:val="nil"/>
            </w:tcBorders>
            <w:shd w:val="clear" w:color="auto" w:fill="auto"/>
            <w:vAlign w:val="center"/>
          </w:tcPr>
          <w:p w14:paraId="36AF3B01" w14:textId="77777777" w:rsidR="0061716B" w:rsidRPr="00353FE8" w:rsidRDefault="0061716B" w:rsidP="0061716B">
            <w:pPr>
              <w:jc w:val="center"/>
              <w:rPr>
                <w:rFonts w:ascii="Calibri" w:eastAsia="Calibri" w:hAnsi="Calibri" w:cs="Calibri"/>
                <w:color w:val="000000" w:themeColor="text1"/>
                <w:sz w:val="22"/>
                <w:szCs w:val="22"/>
                <w:highlight w:val="yellow"/>
              </w:rPr>
            </w:pPr>
          </w:p>
        </w:tc>
      </w:tr>
      <w:tr w:rsidR="0061716B" w:rsidRPr="00353FE8" w14:paraId="513A0DAB" w14:textId="77777777" w:rsidTr="000F2729">
        <w:trPr>
          <w:trHeight w:val="300"/>
        </w:trPr>
        <w:tc>
          <w:tcPr>
            <w:tcW w:w="1560" w:type="dxa"/>
            <w:tcBorders>
              <w:top w:val="single" w:sz="6" w:space="0" w:color="7F7F7F" w:themeColor="text1" w:themeTint="80"/>
              <w:left w:val="nil"/>
              <w:bottom w:val="single" w:sz="6" w:space="0" w:color="7F7F7F" w:themeColor="text1" w:themeTint="80"/>
              <w:right w:val="nil"/>
            </w:tcBorders>
            <w:vAlign w:val="center"/>
          </w:tcPr>
          <w:p w14:paraId="2F2B987D"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The Raine Study </w:t>
            </w:r>
          </w:p>
        </w:tc>
        <w:tc>
          <w:tcPr>
            <w:tcW w:w="3543" w:type="dxa"/>
            <w:tcBorders>
              <w:top w:val="single" w:sz="6" w:space="0" w:color="7F7F7F" w:themeColor="text1" w:themeTint="80"/>
              <w:left w:val="nil"/>
              <w:bottom w:val="single" w:sz="6" w:space="0" w:color="7F7F7F" w:themeColor="text1" w:themeTint="80"/>
              <w:right w:val="nil"/>
            </w:tcBorders>
            <w:vAlign w:val="center"/>
          </w:tcPr>
          <w:p w14:paraId="0A3A2F84" w14:textId="33BBF3EB"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3685B652" w14:textId="51A6E208"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Raven Matrices &lt; 85</w:t>
            </w:r>
          </w:p>
        </w:tc>
        <w:tc>
          <w:tcPr>
            <w:tcW w:w="2499" w:type="dxa"/>
            <w:tcBorders>
              <w:top w:val="single" w:sz="6" w:space="0" w:color="7F7F7F" w:themeColor="text1" w:themeTint="80"/>
              <w:left w:val="nil"/>
              <w:bottom w:val="single" w:sz="6" w:space="0" w:color="7F7F7F" w:themeColor="text1" w:themeTint="80"/>
              <w:right w:val="nil"/>
            </w:tcBorders>
            <w:vAlign w:val="center"/>
          </w:tcPr>
          <w:p w14:paraId="42B0497F"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CELF &lt; -1 SD</w:t>
            </w:r>
          </w:p>
        </w:tc>
        <w:tc>
          <w:tcPr>
            <w:tcW w:w="3030" w:type="dxa"/>
            <w:tcBorders>
              <w:top w:val="single" w:sz="6" w:space="0" w:color="7F7F7F" w:themeColor="text1" w:themeTint="80"/>
              <w:left w:val="nil"/>
              <w:bottom w:val="single" w:sz="6" w:space="0" w:color="7F7F7F" w:themeColor="text1" w:themeTint="80"/>
              <w:right w:val="nil"/>
            </w:tcBorders>
            <w:vAlign w:val="center"/>
          </w:tcPr>
          <w:p w14:paraId="00006196"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CELF &gt; 0</w:t>
            </w:r>
          </w:p>
        </w:tc>
        <w:tc>
          <w:tcPr>
            <w:tcW w:w="3543" w:type="dxa"/>
            <w:tcBorders>
              <w:top w:val="single" w:sz="6" w:space="0" w:color="7F7F7F" w:themeColor="text1" w:themeTint="80"/>
              <w:left w:val="nil"/>
              <w:bottom w:val="single" w:sz="6" w:space="0" w:color="7F7F7F" w:themeColor="text1" w:themeTint="80"/>
              <w:right w:val="nil"/>
            </w:tcBorders>
            <w:vAlign w:val="center"/>
          </w:tcPr>
          <w:p w14:paraId="29C88B75" w14:textId="5310F3D5"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{"citationItems":[{"id":"ITEM-1","itemData":{"abstract":"Raven, J., Raven, J. C., &amp; Court, J. H. (2003). Manual for Raven’s Progressive Matrices and Vocabulary Scales. Section 1: General overview. San Antonio, TX: Harcourt Assessment.","author":[{"dropping-particle":"","family":"Raven","given":"J C","non-dropping-particle":"","parse-names":false,"suffix":""},{"dropping-particle":"","family":"Court","given":"J H","non-dropping-particle":"","parse-names":false,"suffix":""},{"dropping-particle":"","family":"Raven","given":"J","non-dropping-particle":"","parse-names":false,"suffix":""}],"container-title":"1996","id":"ITEM-1","issued":{"date-parts":[["1996"]]},"title":"Manual for Raven’s Standard Progressive Matrices and vocabulary scales","type":"article"},"uris":["http://www.mendeley.com/documents/?uuid=f971f029-ed25-4043-82fa-78b1c8ebf49b"]}],"mendeley":{"formattedCitation":"(Raven, Court, &amp; Raven, 1996)","plainTextFormattedCitation":"(Raven, Court, &amp; Raven, 1996)","previouslyFormattedCitation":"(Raven, Court, &amp; Raven, 1996)"},"properties":{"noteIndex":0},"schema":"https://github.com/citation-style-language/schema/raw/master/csl-citation.json"}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2A09C1">
              <w:rPr>
                <w:rFonts w:ascii="Calibri" w:eastAsia="Calibri" w:hAnsi="Calibri" w:cs="Calibri"/>
                <w:noProof/>
                <w:color w:val="000000" w:themeColor="text1"/>
                <w:sz w:val="22"/>
                <w:szCs w:val="22"/>
              </w:rPr>
              <w:t>(Raven, Court, &amp; Raven, 1996)</w:t>
            </w:r>
            <w:r>
              <w:rPr>
                <w:rFonts w:ascii="Calibri" w:eastAsia="Calibri" w:hAnsi="Calibri" w:cs="Calibri"/>
                <w:color w:val="000000" w:themeColor="text1"/>
                <w:sz w:val="22"/>
                <w:szCs w:val="22"/>
              </w:rPr>
              <w:fldChar w:fldCharType="end"/>
            </w:r>
          </w:p>
          <w:p w14:paraId="4C671941" w14:textId="77777777" w:rsidR="000F2729" w:rsidRDefault="000F2729" w:rsidP="0061716B">
            <w:pPr>
              <w:jc w:val="center"/>
              <w:rPr>
                <w:rFonts w:ascii="Calibri" w:eastAsia="Calibri" w:hAnsi="Calibri" w:cs="Calibri"/>
                <w:color w:val="000000" w:themeColor="text1"/>
                <w:sz w:val="22"/>
                <w:szCs w:val="22"/>
              </w:rPr>
            </w:pPr>
          </w:p>
          <w:p w14:paraId="54E43109" w14:textId="2FE4137F" w:rsidR="000F2729" w:rsidRPr="000F2729" w:rsidRDefault="0061716B" w:rsidP="000F2729">
            <w:pPr>
              <w:jc w:val="center"/>
              <w:rPr>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Semel","given":"E","non-dropping-particle":"","parse-names":false,"suffix":""},{"dropping-particle":"","family":"Wiig","given":"E.H.","non-dropping-particle":"","parse-names":false,"suffix":""},{"dropping-particle":"","family":"Secord","given":"W","non-dropping-particle":"","parse-names":false,"suffix":""}],"container-title":"The Psychological Corporation","id":"ITEM-1","issued":{"date-parts":[["1995"]]},"title":"Clinical Evaluation of Language Fundamentals, Third Edition","type":"article-journal"},"uris":["http://www.mendeley.com/documents/?uuid=3bf011f2-c313-4eaa-ba57-83b32de45b82"]}],"mendeley":{"formattedCitation":"(Semel, Wiig, &amp; Secord, 1995)","plainTextFormattedCitation":"(Semel, Wiig, &amp; Secord, 1995)","previouslyFormattedCitation":"(Semel, Wiig, &amp; Secord, 1995)"},"properties":{"noteIndex":0},"schema":"https://github.com/citation-style-language/schema/raw/master/csl-citation.json"}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2A09C1">
              <w:rPr>
                <w:rFonts w:ascii="Calibri" w:eastAsia="Calibri" w:hAnsi="Calibri" w:cs="Calibri"/>
                <w:noProof/>
                <w:color w:val="000000" w:themeColor="text1"/>
                <w:sz w:val="22"/>
                <w:szCs w:val="22"/>
              </w:rPr>
              <w:t>(Semel, Wiig, &amp; Secord, 1995)</w:t>
            </w:r>
            <w:r>
              <w:rPr>
                <w:rFonts w:ascii="Calibri" w:eastAsia="Calibri" w:hAnsi="Calibri" w:cs="Calibri"/>
                <w:color w:val="000000" w:themeColor="text1"/>
                <w:sz w:val="22"/>
                <w:szCs w:val="22"/>
              </w:rPr>
              <w:fldChar w:fldCharType="end"/>
            </w:r>
            <w:r w:rsidRPr="00353FE8">
              <w:rPr>
                <w:sz w:val="22"/>
                <w:szCs w:val="22"/>
              </w:rPr>
              <w:t xml:space="preserve"> </w:t>
            </w:r>
          </w:p>
        </w:tc>
      </w:tr>
      <w:tr w:rsidR="0061716B" w:rsidRPr="00353FE8" w14:paraId="1B06EF71" w14:textId="77777777" w:rsidTr="000F2729">
        <w:trPr>
          <w:trHeight w:val="300"/>
        </w:trPr>
        <w:tc>
          <w:tcPr>
            <w:tcW w:w="1560" w:type="dxa"/>
            <w:tcBorders>
              <w:top w:val="single" w:sz="6" w:space="0" w:color="7F7F7F" w:themeColor="text1" w:themeTint="80"/>
              <w:left w:val="nil"/>
              <w:right w:val="nil"/>
            </w:tcBorders>
            <w:vAlign w:val="center"/>
          </w:tcPr>
          <w:p w14:paraId="3B2B4C70" w14:textId="2D777DF9"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TEDS Reading</w:t>
            </w:r>
          </w:p>
        </w:tc>
        <w:tc>
          <w:tcPr>
            <w:tcW w:w="3543" w:type="dxa"/>
            <w:vMerge w:val="restart"/>
            <w:tcBorders>
              <w:top w:val="single" w:sz="6" w:space="0" w:color="7F7F7F" w:themeColor="text1" w:themeTint="80"/>
              <w:left w:val="nil"/>
              <w:right w:val="nil"/>
            </w:tcBorders>
            <w:vAlign w:val="center"/>
          </w:tcPr>
          <w:p w14:paraId="6CF6F453" w14:textId="706D9544"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76A873C1" w14:textId="77777777"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Raven Matrices</w:t>
            </w:r>
            <w:r w:rsidRPr="00353FE8">
              <w:rPr>
                <w:rFonts w:ascii="Calibri" w:eastAsia="Calibri" w:hAnsi="Calibri" w:cs="Calibri"/>
                <w:color w:val="000000" w:themeColor="text1"/>
                <w:sz w:val="22"/>
                <w:szCs w:val="22"/>
              </w:rPr>
              <w:t xml:space="preserve"> &lt; 85</w:t>
            </w:r>
          </w:p>
          <w:p w14:paraId="07202D12" w14:textId="17E04EE5" w:rsidR="0061716B" w:rsidRPr="00353FE8" w:rsidRDefault="0061716B" w:rsidP="0061716B">
            <w:pPr>
              <w:jc w:val="center"/>
              <w:rPr>
                <w:rFonts w:ascii="Calibri" w:eastAsia="Calibri" w:hAnsi="Calibri" w:cs="Calibri"/>
                <w:color w:val="000000" w:themeColor="text1"/>
                <w:sz w:val="22"/>
                <w:szCs w:val="22"/>
              </w:rPr>
            </w:pPr>
          </w:p>
        </w:tc>
        <w:tc>
          <w:tcPr>
            <w:tcW w:w="2499" w:type="dxa"/>
            <w:tcBorders>
              <w:top w:val="single" w:sz="6" w:space="0" w:color="7F7F7F" w:themeColor="text1" w:themeTint="80"/>
              <w:left w:val="nil"/>
              <w:right w:val="nil"/>
            </w:tcBorders>
            <w:vAlign w:val="center"/>
          </w:tcPr>
          <w:p w14:paraId="786DD0D8" w14:textId="7817D71C"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CRS</w:t>
            </w:r>
            <w:r w:rsidRPr="00353FE8">
              <w:rPr>
                <w:rFonts w:ascii="Calibri" w:eastAsia="Calibri" w:hAnsi="Calibri" w:cs="Calibri"/>
                <w:color w:val="000000" w:themeColor="text1"/>
                <w:sz w:val="22"/>
                <w:szCs w:val="22"/>
              </w:rPr>
              <w:t xml:space="preserve"> &lt; -1 SD</w:t>
            </w:r>
          </w:p>
        </w:tc>
        <w:tc>
          <w:tcPr>
            <w:tcW w:w="3030" w:type="dxa"/>
            <w:vMerge w:val="restart"/>
            <w:tcBorders>
              <w:top w:val="single" w:sz="6" w:space="0" w:color="7F7F7F" w:themeColor="text1" w:themeTint="80"/>
              <w:left w:val="nil"/>
              <w:right w:val="nil"/>
            </w:tcBorders>
            <w:vAlign w:val="center"/>
          </w:tcPr>
          <w:p w14:paraId="68E83CC7" w14:textId="77777777"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CRS</w:t>
            </w:r>
            <w:r w:rsidRPr="00353FE8">
              <w:rPr>
                <w:rFonts w:ascii="Calibri" w:eastAsia="Calibri" w:hAnsi="Calibri" w:cs="Calibri"/>
                <w:color w:val="000000" w:themeColor="text1"/>
                <w:sz w:val="22"/>
                <w:szCs w:val="22"/>
              </w:rPr>
              <w:t xml:space="preserve"> &gt; -0.25 SD</w:t>
            </w:r>
          </w:p>
          <w:p w14:paraId="27F1EF59" w14:textId="6A4F7BF2"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 xml:space="preserve">CLS </w:t>
            </w:r>
            <w:r w:rsidRPr="00353FE8">
              <w:rPr>
                <w:rFonts w:ascii="Calibri" w:eastAsia="Calibri" w:hAnsi="Calibri" w:cs="Calibri"/>
                <w:color w:val="000000" w:themeColor="text1"/>
                <w:sz w:val="22"/>
                <w:szCs w:val="22"/>
              </w:rPr>
              <w:t>&gt; -0.25 SD</w:t>
            </w:r>
          </w:p>
        </w:tc>
        <w:tc>
          <w:tcPr>
            <w:tcW w:w="3543" w:type="dxa"/>
            <w:vMerge w:val="restart"/>
            <w:tcBorders>
              <w:top w:val="single" w:sz="6" w:space="0" w:color="7F7F7F" w:themeColor="text1" w:themeTint="80"/>
              <w:left w:val="nil"/>
              <w:right w:val="nil"/>
            </w:tcBorders>
            <w:vAlign w:val="center"/>
          </w:tcPr>
          <w:p w14:paraId="669EBAA3" w14:textId="20324231" w:rsidR="0061716B" w:rsidRDefault="0061716B" w:rsidP="0061716B">
            <w:pPr>
              <w:jc w:val="center"/>
              <w:rPr>
                <w:sz w:val="22"/>
                <w:szCs w:val="22"/>
              </w:rPr>
            </w:pPr>
            <w:r w:rsidRPr="00353FE8">
              <w:rPr>
                <w:sz w:val="22"/>
                <w:szCs w:val="22"/>
              </w:rPr>
              <w:lastRenderedPageBreak/>
              <w:br/>
            </w:r>
            <w:r>
              <w:rPr>
                <w:sz w:val="22"/>
                <w:szCs w:val="22"/>
              </w:rPr>
              <w:fldChar w:fldCharType="begin" w:fldLock="1"/>
            </w:r>
            <w:r>
              <w:rPr>
                <w:sz w:val="22"/>
                <w:szCs w:val="22"/>
              </w:rPr>
              <w:instrText>ADDIN CSL_CITATION {"citationItems":[{"id":"ITEM-1","itemData":{"abstract":"Raven, J., Raven, J. C., &amp; Court, J. H. (2003). Manual for Raven’s Progressive Matrices and Vocabulary Scales. Section 1: General overview. San Antonio, TX: Harcourt Assessment.","author":[{"dropping-particle":"","family":"Raven","given":"J C","non-dropping-particle":"","parse-names":false,"suffix":""},{"dropping-particle":"","family":"Court","given":"J H","non-dropping-particle":"","parse-names":false,"suffix":""},{"dropping-particle":"","family":"Raven","given":"J","non-dropping-particle":"","parse-names":false,"suffix":""}],"container-title":"1996","id":"ITEM-1","issued":{"date-parts":[["1996"]]},"title":"Manual for Raven’s Standard Progressive Matrices and vocabulary scales","type":"article"},"uris":["http://www.mendeley.com/documents/?uuid=f971f029-ed25-4043-82fa-78b1c8ebf49b"]}],"mendeley":{"formattedCitation":"(Raven et al., 1996)","plainTextFormattedCitation":"(Raven et al., 1996)","previouslyFormattedCitation":"(Raven et al., 1996)"},"properties":{"noteIndex":0},"schema":"https://github.com/citation-style-language/schema/raw/master/csl-citation.json"}</w:instrText>
            </w:r>
            <w:r>
              <w:rPr>
                <w:sz w:val="22"/>
                <w:szCs w:val="22"/>
              </w:rPr>
              <w:fldChar w:fldCharType="separate"/>
            </w:r>
            <w:r w:rsidRPr="002D05FE">
              <w:rPr>
                <w:noProof/>
                <w:sz w:val="22"/>
                <w:szCs w:val="22"/>
              </w:rPr>
              <w:t>(Raven et al., 1996)</w:t>
            </w:r>
            <w:r>
              <w:rPr>
                <w:sz w:val="22"/>
                <w:szCs w:val="22"/>
              </w:rPr>
              <w:fldChar w:fldCharType="end"/>
            </w:r>
          </w:p>
          <w:p w14:paraId="432221E6" w14:textId="77777777" w:rsidR="0061716B" w:rsidRDefault="0061716B" w:rsidP="0061716B">
            <w:pPr>
              <w:jc w:val="center"/>
              <w:rPr>
                <w:sz w:val="22"/>
                <w:szCs w:val="22"/>
              </w:rPr>
            </w:pPr>
          </w:p>
          <w:p w14:paraId="05D016CA" w14:textId="7AE86822" w:rsidR="0061716B" w:rsidRPr="00353FE8" w:rsidRDefault="0061716B" w:rsidP="000F2729">
            <w:pPr>
              <w:jc w:val="center"/>
              <w:rPr>
                <w:rFonts w:ascii="Calibri" w:eastAsia="Calibri" w:hAnsi="Calibri" w:cs="Calibri"/>
                <w:color w:val="000000" w:themeColor="text1"/>
                <w:sz w:val="22"/>
                <w:szCs w:val="22"/>
              </w:rPr>
            </w:pPr>
            <w:r>
              <w:rPr>
                <w:sz w:val="22"/>
                <w:szCs w:val="22"/>
              </w:rPr>
              <w:fldChar w:fldCharType="begin" w:fldLock="1"/>
            </w:r>
            <w:r>
              <w:rPr>
                <w:sz w:val="22"/>
                <w:szCs w:val="22"/>
              </w:rPr>
              <w:instrText>ADDIN CSL_CITATION {"citationItems":[{"id":"ITEM-1","itemData":{"DOI":"10.1111/desc.12998","ISSN":"14677687","PMID":"32449284","abstract":"This study examines whether, and how, multiple risks in early childhood are associated with an increased likelihood of a poor language or literacy outcome in early adolescence. Using data from 210 participants in the longitudinal Twins Early Developmental Study, we focus on the following risk factors at age 4: family risk, and poor language, speech, emergent literacy and nonverbal skills. The outcomes of interest at age 12 are language, reading fluency and reading comprehension. We contrast a ‘cumulative risk’ model, counting the presence or absence of each risk factor (breadth), with a model that also considers the severity of the early deficits (depth). A ‘cumulative risk index’ correlated modestly but significantly with outcome (r = 0.32–0.40). Odds ratios confirmed that having many risk factors (3–6) confers a higher probability of a poor outcome (OR 7.86–17.71) than having one or two (OR 3.65–7.28). Logistic regression models showed that predictive validity is not improved by including information about the severity of each deficit. Even with rich information on children's risk status at age 4, we can make only a moderately accurate prediction of the likelihood of a language or literacy disorder 8 years later (Area Under the Curve = 0.74–0.84; Positive Predictive Value = 0.33–0.55, Negative Predictive Value = 0.86–0.91). Taken together, and consistent with the idea of ‘cumulative risk’, these results suggest that the breadth of risk is a core predictor of outcome, and furthermore, that the severity of early deficits does not add significantly to this prediction.","author":[{"dropping-particle":"","family":"Hayiou-Thomas","given":"Marianna E.","non-dropping-particle":"","parse-names":false,"suffix":""},{"dropping-particle":"","family":"Smith-Woolley","given":"Emily","non-dropping-particle":"","parse-names":false,"suffix":""},{"dropping-particle":"","family":"Dale","given":"Philip S.","non-dropping-particle":"","parse-names":false,"suffix":""}],"container-title":"Developmental Science","id":"ITEM-1","issued":{"date-parts":[["2021"]]},"title":"Breadth versus depth: Cumulative risk model and continuous measure prediction of poor language and reading outcomes at 12","type":"article-journal"},"uris":["http://www.mendeley.com/documents/?uuid=019f9afb-5e4f-40bb-85cd-5027266833e5"]}],"mendeley":{"formattedCitation":"(Hayiou-Thomas, Smith-Woolley, &amp; Dale, 2021)","plainTextFormattedCitation":"(Hayiou-Thomas, Smith-Woolley, &amp; Dale, 2021)","previouslyFormattedCitation":"(Hayiou-Thomas, Smith-Woolley, &amp; Dale, 2021)"},"properties":{"noteIndex":0},"schema":"https://github.com/citation-style-language/schema/raw/master/csl-citation.json"}</w:instrText>
            </w:r>
            <w:r>
              <w:rPr>
                <w:sz w:val="22"/>
                <w:szCs w:val="22"/>
              </w:rPr>
              <w:fldChar w:fldCharType="separate"/>
            </w:r>
            <w:r w:rsidRPr="002D05FE">
              <w:rPr>
                <w:noProof/>
                <w:sz w:val="22"/>
                <w:szCs w:val="22"/>
              </w:rPr>
              <w:t>(Hayiou-Thomas, Smith-Woolley, &amp; Dale, 2021)</w:t>
            </w:r>
            <w:r>
              <w:rPr>
                <w:sz w:val="22"/>
                <w:szCs w:val="22"/>
              </w:rPr>
              <w:fldChar w:fldCharType="end"/>
            </w:r>
          </w:p>
        </w:tc>
      </w:tr>
      <w:tr w:rsidR="0061716B" w:rsidRPr="00353FE8" w14:paraId="5B2763A3" w14:textId="77777777" w:rsidTr="000F2729">
        <w:trPr>
          <w:trHeight w:val="360"/>
        </w:trPr>
        <w:tc>
          <w:tcPr>
            <w:tcW w:w="1560" w:type="dxa"/>
            <w:tcBorders>
              <w:left w:val="nil"/>
              <w:bottom w:val="single" w:sz="6" w:space="0" w:color="7F7F7F" w:themeColor="text1" w:themeTint="80"/>
              <w:right w:val="nil"/>
            </w:tcBorders>
            <w:vAlign w:val="center"/>
          </w:tcPr>
          <w:p w14:paraId="741C9465" w14:textId="2B3E0CF6"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lastRenderedPageBreak/>
              <w:t>TEDS Language</w:t>
            </w:r>
          </w:p>
        </w:tc>
        <w:tc>
          <w:tcPr>
            <w:tcW w:w="3543" w:type="dxa"/>
            <w:vMerge/>
            <w:tcBorders>
              <w:left w:val="nil"/>
              <w:bottom w:val="single" w:sz="6" w:space="0" w:color="7F7F7F" w:themeColor="text1" w:themeTint="80"/>
              <w:right w:val="nil"/>
            </w:tcBorders>
            <w:vAlign w:val="center"/>
          </w:tcPr>
          <w:p w14:paraId="0775D870" w14:textId="04C226D6" w:rsidR="0061716B" w:rsidRPr="00353FE8" w:rsidRDefault="0061716B" w:rsidP="0061716B">
            <w:pPr>
              <w:jc w:val="center"/>
              <w:rPr>
                <w:rFonts w:ascii="Calibri" w:eastAsia="Calibri" w:hAnsi="Calibri" w:cs="Calibri"/>
                <w:color w:val="000000" w:themeColor="text1"/>
                <w:sz w:val="22"/>
                <w:szCs w:val="22"/>
              </w:rPr>
            </w:pPr>
          </w:p>
        </w:tc>
        <w:tc>
          <w:tcPr>
            <w:tcW w:w="2499" w:type="dxa"/>
            <w:tcBorders>
              <w:left w:val="nil"/>
              <w:bottom w:val="single" w:sz="6" w:space="0" w:color="7F7F7F" w:themeColor="text1" w:themeTint="80"/>
              <w:right w:val="nil"/>
            </w:tcBorders>
            <w:vAlign w:val="center"/>
          </w:tcPr>
          <w:p w14:paraId="4EFCE9F9" w14:textId="7C744E65"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CLS</w:t>
            </w:r>
            <w:r w:rsidRPr="00353FE8">
              <w:rPr>
                <w:rFonts w:ascii="Calibri" w:eastAsia="Calibri" w:hAnsi="Calibri" w:cs="Calibri"/>
                <w:color w:val="000000" w:themeColor="text1"/>
                <w:sz w:val="22"/>
                <w:szCs w:val="22"/>
              </w:rPr>
              <w:t xml:space="preserve"> &lt; -1 SD</w:t>
            </w:r>
          </w:p>
        </w:tc>
        <w:tc>
          <w:tcPr>
            <w:tcW w:w="3030" w:type="dxa"/>
            <w:vMerge/>
            <w:tcBorders>
              <w:left w:val="nil"/>
              <w:bottom w:val="single" w:sz="6" w:space="0" w:color="7F7F7F" w:themeColor="text1" w:themeTint="80"/>
              <w:right w:val="nil"/>
            </w:tcBorders>
            <w:vAlign w:val="center"/>
          </w:tcPr>
          <w:p w14:paraId="57A8D284" w14:textId="72302E60" w:rsidR="0061716B" w:rsidRPr="00353FE8" w:rsidRDefault="0061716B" w:rsidP="0061716B">
            <w:pPr>
              <w:jc w:val="center"/>
              <w:rPr>
                <w:rFonts w:ascii="Calibri" w:eastAsia="Calibri" w:hAnsi="Calibri" w:cs="Calibri"/>
                <w:color w:val="000000" w:themeColor="text1"/>
                <w:sz w:val="22"/>
                <w:szCs w:val="22"/>
              </w:rPr>
            </w:pPr>
          </w:p>
        </w:tc>
        <w:tc>
          <w:tcPr>
            <w:tcW w:w="3543" w:type="dxa"/>
            <w:vMerge/>
            <w:tcBorders>
              <w:left w:val="nil"/>
              <w:bottom w:val="single" w:sz="6" w:space="0" w:color="7F7F7F" w:themeColor="text1" w:themeTint="80"/>
              <w:right w:val="nil"/>
            </w:tcBorders>
            <w:vAlign w:val="center"/>
          </w:tcPr>
          <w:p w14:paraId="6911639D" w14:textId="5A5A1398" w:rsidR="0061716B" w:rsidRPr="00353FE8" w:rsidRDefault="0061716B" w:rsidP="0061716B">
            <w:pPr>
              <w:jc w:val="center"/>
              <w:rPr>
                <w:rFonts w:ascii="Calibri" w:eastAsia="Calibri" w:hAnsi="Calibri" w:cs="Calibri"/>
                <w:color w:val="000000" w:themeColor="text1"/>
                <w:sz w:val="22"/>
                <w:szCs w:val="22"/>
              </w:rPr>
            </w:pPr>
          </w:p>
        </w:tc>
      </w:tr>
      <w:tr w:rsidR="0061716B" w:rsidRPr="000B4383" w14:paraId="50E58FB5" w14:textId="77777777" w:rsidTr="000F2729">
        <w:trPr>
          <w:trHeight w:val="540"/>
        </w:trPr>
        <w:tc>
          <w:tcPr>
            <w:tcW w:w="1560" w:type="dxa"/>
            <w:tcBorders>
              <w:top w:val="single" w:sz="6" w:space="0" w:color="7F7F7F" w:themeColor="text1" w:themeTint="80"/>
              <w:left w:val="nil"/>
              <w:bottom w:val="single" w:sz="6" w:space="0" w:color="7F7F7F" w:themeColor="text1" w:themeTint="80"/>
              <w:right w:val="nil"/>
            </w:tcBorders>
            <w:vAlign w:val="center"/>
          </w:tcPr>
          <w:p w14:paraId="112649BF"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Manchester Language Study</w:t>
            </w:r>
            <w:r w:rsidRPr="00353FE8">
              <w:rPr>
                <w:rFonts w:ascii="Calibri" w:eastAsia="Calibri" w:hAnsi="Calibri" w:cs="Calibri"/>
                <w:b/>
                <w:bCs/>
                <w:color w:val="000000" w:themeColor="text1"/>
                <w:sz w:val="22"/>
                <w:szCs w:val="22"/>
                <w:vertAlign w:val="superscript"/>
              </w:rPr>
              <w:t>2</w:t>
            </w:r>
            <w:r w:rsidRPr="00353FE8">
              <w:rPr>
                <w:rFonts w:ascii="Calibri" w:eastAsia="Calibri" w:hAnsi="Calibri" w:cs="Calibri"/>
                <w:b/>
                <w:bCs/>
                <w:color w:val="000000" w:themeColor="text1"/>
                <w:sz w:val="22"/>
                <w:szCs w:val="22"/>
              </w:rPr>
              <w:t xml:space="preserve"> </w:t>
            </w:r>
          </w:p>
        </w:tc>
        <w:tc>
          <w:tcPr>
            <w:tcW w:w="3543" w:type="dxa"/>
            <w:tcBorders>
              <w:top w:val="single" w:sz="6" w:space="0" w:color="7F7F7F" w:themeColor="text1" w:themeTint="80"/>
              <w:left w:val="nil"/>
              <w:bottom w:val="single" w:sz="6" w:space="0" w:color="7F7F7F" w:themeColor="text1" w:themeTint="80"/>
              <w:right w:val="nil"/>
            </w:tcBorders>
            <w:vAlign w:val="center"/>
          </w:tcPr>
          <w:p w14:paraId="5572F626" w14:textId="3ECA3B89"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04E7DC96" w14:textId="36E04990"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Raven matrices &lt; 85</w:t>
            </w:r>
          </w:p>
        </w:tc>
        <w:tc>
          <w:tcPr>
            <w:tcW w:w="2499" w:type="dxa"/>
            <w:tcBorders>
              <w:top w:val="single" w:sz="6" w:space="0" w:color="7F7F7F" w:themeColor="text1" w:themeTint="80"/>
              <w:left w:val="nil"/>
              <w:bottom w:val="single" w:sz="6" w:space="0" w:color="7F7F7F" w:themeColor="text1" w:themeTint="80"/>
              <w:right w:val="nil"/>
            </w:tcBorders>
            <w:vAlign w:val="center"/>
          </w:tcPr>
          <w:p w14:paraId="4E0622CF" w14:textId="7B7A03B2"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Language assessment</w:t>
            </w:r>
          </w:p>
        </w:tc>
        <w:tc>
          <w:tcPr>
            <w:tcW w:w="3030" w:type="dxa"/>
            <w:tcBorders>
              <w:top w:val="single" w:sz="6" w:space="0" w:color="7F7F7F" w:themeColor="text1" w:themeTint="80"/>
              <w:left w:val="nil"/>
              <w:bottom w:val="single" w:sz="6" w:space="0" w:color="7F7F7F" w:themeColor="text1" w:themeTint="80"/>
              <w:right w:val="nil"/>
            </w:tcBorders>
            <w:vAlign w:val="center"/>
          </w:tcPr>
          <w:p w14:paraId="5C724181"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w:t>
            </w:r>
          </w:p>
        </w:tc>
        <w:tc>
          <w:tcPr>
            <w:tcW w:w="3543" w:type="dxa"/>
            <w:tcBorders>
              <w:top w:val="single" w:sz="6" w:space="0" w:color="7F7F7F" w:themeColor="text1" w:themeTint="80"/>
              <w:left w:val="nil"/>
              <w:bottom w:val="single" w:sz="6" w:space="0" w:color="7F7F7F" w:themeColor="text1" w:themeTint="80"/>
              <w:right w:val="nil"/>
            </w:tcBorders>
            <w:vAlign w:val="center"/>
          </w:tcPr>
          <w:p w14:paraId="49FA420E" w14:textId="5FBD595A" w:rsidR="0061716B" w:rsidRPr="000F2729" w:rsidRDefault="0061716B" w:rsidP="0061716B">
            <w:pPr>
              <w:jc w:val="center"/>
              <w:rPr>
                <w:rFonts w:ascii="Calibri" w:eastAsia="Calibri" w:hAnsi="Calibri" w:cs="Calibri"/>
                <w:color w:val="000000" w:themeColor="text1"/>
                <w:sz w:val="22"/>
                <w:szCs w:val="22"/>
                <w:lang w:val="it-IT"/>
              </w:rPr>
            </w:pPr>
            <w:r>
              <w:rPr>
                <w:rFonts w:ascii="Calibri" w:eastAsia="Calibri" w:hAnsi="Calibri" w:cs="Calibri"/>
                <w:color w:val="000000" w:themeColor="text1"/>
                <w:sz w:val="22"/>
                <w:szCs w:val="22"/>
              </w:rPr>
              <w:fldChar w:fldCharType="begin" w:fldLock="1"/>
            </w:r>
            <w:r w:rsidRPr="0061716B">
              <w:rPr>
                <w:rFonts w:ascii="Calibri" w:eastAsia="Calibri" w:hAnsi="Calibri" w:cs="Calibri"/>
                <w:color w:val="000000" w:themeColor="text1"/>
                <w:sz w:val="22"/>
                <w:szCs w:val="22"/>
                <w:lang w:val="it-IT"/>
              </w:rPr>
              <w:instrText>ADDIN CSL_CITATION {"citationItems":[{"id":"ITEM-1","itemData":{"abstract":"Raven, J., Raven, J. C., &amp; Court, J. H. (2003). Manual for Raven’s Progressive Matrices and Vocabulary Scales. Section 1: General overview. San Antonio, TX: Harcourt Assessment.","author":[{"dropping-particle":"","family":"Raven","given":"J C","non-dropping-particle":"","parse-names":false,"suffix":""},{"dropping-particle":"","family":"Court","given":"J H","non-dropping-particle":"","parse-names":false,"suffix":""},{"dropping-particle":"","family":"Raven","given":"J","non-dropping-particle":"","parse-names":false,"suffix":""}],"container-title":"1996","id":"ITEM-1","issued":{"date-parts":[["1996"]]},"title":"Manual for Raven’s Standard Progressive Matrices and vocabulary scales","type":"article"},"uris":["http://www.mendeley.com/documents/?uuid=f971f029-ed25-4043-82fa-78b1c8ebf49b"]}],"mendeley":{"formattedCitation":"(Raven et al., 1996)","plainTextFormattedCitation":"(Raven et al., 1996)","previouslyFormattedCitation":"(Raven et al., 1996)"},"properties":{"noteIndex":0},"schema":"https://github.com/citation-style-language/schema/raw/master/csl-citation.json"}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61716B">
              <w:rPr>
                <w:rFonts w:ascii="Calibri" w:eastAsia="Calibri" w:hAnsi="Calibri" w:cs="Calibri"/>
                <w:noProof/>
                <w:color w:val="000000" w:themeColor="text1"/>
                <w:sz w:val="22"/>
                <w:szCs w:val="22"/>
                <w:lang w:val="it-IT"/>
              </w:rPr>
              <w:t>(Raven et al., 1996)</w:t>
            </w:r>
            <w:r>
              <w:rPr>
                <w:rFonts w:ascii="Calibri" w:eastAsia="Calibri" w:hAnsi="Calibri" w:cs="Calibri"/>
                <w:color w:val="000000" w:themeColor="text1"/>
                <w:sz w:val="22"/>
                <w:szCs w:val="22"/>
              </w:rPr>
              <w:fldChar w:fldCharType="end"/>
            </w:r>
          </w:p>
          <w:p w14:paraId="7E19CDD9" w14:textId="77777777" w:rsidR="000F2729" w:rsidRPr="0061716B" w:rsidRDefault="000F2729" w:rsidP="0061716B">
            <w:pPr>
              <w:jc w:val="center"/>
              <w:rPr>
                <w:rFonts w:ascii="Calibri" w:eastAsia="Calibri" w:hAnsi="Calibri" w:cs="Calibri"/>
                <w:color w:val="000000" w:themeColor="text1"/>
                <w:sz w:val="22"/>
                <w:szCs w:val="22"/>
                <w:lang w:val="it-IT"/>
              </w:rPr>
            </w:pPr>
          </w:p>
          <w:p w14:paraId="2D2A755F" w14:textId="67238846" w:rsidR="0061716B" w:rsidRPr="0061716B" w:rsidRDefault="0061716B" w:rsidP="0061716B">
            <w:pPr>
              <w:jc w:val="center"/>
              <w:rPr>
                <w:rFonts w:ascii="Calibri" w:eastAsia="Calibri" w:hAnsi="Calibri" w:cs="Calibri"/>
                <w:color w:val="000000" w:themeColor="text1"/>
                <w:sz w:val="22"/>
                <w:szCs w:val="22"/>
                <w:lang w:val="it-IT"/>
              </w:rPr>
            </w:pPr>
            <w:r>
              <w:rPr>
                <w:rFonts w:ascii="Calibri" w:eastAsia="Calibri" w:hAnsi="Calibri" w:cs="Calibri"/>
                <w:color w:val="000000" w:themeColor="text1"/>
                <w:sz w:val="22"/>
                <w:szCs w:val="22"/>
              </w:rPr>
              <w:fldChar w:fldCharType="begin" w:fldLock="1"/>
            </w:r>
            <w:r w:rsidRPr="0061716B">
              <w:rPr>
                <w:rFonts w:ascii="Calibri" w:eastAsia="Calibri" w:hAnsi="Calibri" w:cs="Calibri"/>
                <w:color w:val="000000" w:themeColor="text1"/>
                <w:sz w:val="22"/>
                <w:szCs w:val="22"/>
                <w:lang w:val="it-IT"/>
              </w:rPr>
              <w:instrText>ADDIN CSL_CITATION {"citationItems":[{"id":"ITEM-1","itemData":{"DOI":"10.1044/jslhr.4004.765","ISSN":"1092-4388","abstract":"This paper reports on the results of a large project involving 7-year-old children attending language units in England. A group of 242 children with specific language impairment (SLI) were assessed on a battery of psychometric tests. In addition, teacher interviews were carried out to ascertain teachers’ opinions of the children’s difficulties. Cluster analysis revealed six robust subgroups of children with language difficulties. The findings are discussed in the context of other approaches to the classification of language impairment in children with special reference to the work of Rapin and Allen (1987).","author":[{"dropping-particle":"","family":"Conti-Ramsden","given":"Gina","non-dropping-particle":"","parse-names":false,"suffix":""},{"dropping-particle":"","family":"Crutchley","given":"Alison","non-dropping-particle":"","parse-names":false,"suffix":""},{"dropping-particle":"","family":"Botting","given":"Nicola","non-dropping-particle":"","parse-names":false,"suffix":""}],"container-title":"Journal of Speech, Language, and Hearing Research","id":"ITEM-1","issued":{"date-parts":[["1997"]]},"title":"The Extent to Which Psychometric Tests Differentiate Subgroups of Children With SLI","type":"article-journal"},"uris":["http://www.mendeley.com/documents/?uuid=76eca344-55ca-443a-82af-6bd04796db2a"]}],"mendeley":{"formattedCitation":"(Conti-Ramsden, Crutchley, &amp; Botting, 1997)","plainTextFormattedCitation":"(Conti-Ramsden, Crutchley, &amp; Botting, 1997)","previouslyFormattedCitation":"(Conti-Ramsden, Crutchley, &amp; Botting, 1997)"},"properties":{"noteIndex":0},"schema":"https://github.com/citation-style-language/schema/raw/master/csl-citation.json"}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61716B">
              <w:rPr>
                <w:rFonts w:ascii="Calibri" w:eastAsia="Calibri" w:hAnsi="Calibri" w:cs="Calibri"/>
                <w:noProof/>
                <w:color w:val="000000" w:themeColor="text1"/>
                <w:sz w:val="22"/>
                <w:szCs w:val="22"/>
                <w:lang w:val="it-IT"/>
              </w:rPr>
              <w:t>(Conti-Ramsden, Crutchley, &amp; Botting, 1997)</w:t>
            </w:r>
            <w:r>
              <w:rPr>
                <w:rFonts w:ascii="Calibri" w:eastAsia="Calibri" w:hAnsi="Calibri" w:cs="Calibri"/>
                <w:color w:val="000000" w:themeColor="text1"/>
                <w:sz w:val="22"/>
                <w:szCs w:val="22"/>
              </w:rPr>
              <w:fldChar w:fldCharType="end"/>
            </w:r>
          </w:p>
        </w:tc>
      </w:tr>
      <w:tr w:rsidR="0061716B" w:rsidRPr="002D05FE" w14:paraId="4ECE5AC6" w14:textId="77777777" w:rsidTr="000F2729">
        <w:trPr>
          <w:trHeight w:val="300"/>
        </w:trPr>
        <w:tc>
          <w:tcPr>
            <w:tcW w:w="1560" w:type="dxa"/>
            <w:tcBorders>
              <w:top w:val="single" w:sz="6" w:space="0" w:color="7F7F7F" w:themeColor="text1" w:themeTint="80"/>
              <w:left w:val="nil"/>
              <w:bottom w:val="single" w:sz="6" w:space="0" w:color="7F7F7F" w:themeColor="text1" w:themeTint="80"/>
              <w:right w:val="nil"/>
            </w:tcBorders>
            <w:vAlign w:val="center"/>
          </w:tcPr>
          <w:p w14:paraId="11C6F690"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Multicenter Study Marburg/Würzburg</w:t>
            </w:r>
            <w:r w:rsidRPr="00353FE8">
              <w:rPr>
                <w:rFonts w:ascii="Calibri" w:eastAsia="Calibri" w:hAnsi="Calibri" w:cs="Calibri"/>
                <w:b/>
                <w:bCs/>
                <w:color w:val="000000" w:themeColor="text1"/>
                <w:sz w:val="22"/>
                <w:szCs w:val="22"/>
                <w:vertAlign w:val="superscript"/>
              </w:rPr>
              <w:t>3</w:t>
            </w:r>
            <w:r w:rsidRPr="00353FE8">
              <w:rPr>
                <w:rFonts w:ascii="Calibri" w:eastAsia="Calibri" w:hAnsi="Calibri" w:cs="Calibri"/>
                <w:b/>
                <w:bCs/>
                <w:color w:val="000000" w:themeColor="text1"/>
                <w:sz w:val="22"/>
                <w:szCs w:val="22"/>
              </w:rPr>
              <w:t xml:space="preserve"> </w:t>
            </w:r>
          </w:p>
        </w:tc>
        <w:tc>
          <w:tcPr>
            <w:tcW w:w="3543" w:type="dxa"/>
            <w:tcBorders>
              <w:top w:val="single" w:sz="6" w:space="0" w:color="7F7F7F" w:themeColor="text1" w:themeTint="80"/>
              <w:left w:val="nil"/>
              <w:bottom w:val="single" w:sz="6" w:space="0" w:color="7F7F7F" w:themeColor="text1" w:themeTint="80"/>
              <w:right w:val="nil"/>
            </w:tcBorders>
            <w:vAlign w:val="center"/>
          </w:tcPr>
          <w:p w14:paraId="49D5978C" w14:textId="456B36ED"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Performance </w:t>
            </w:r>
            <w:r w:rsidRPr="00353FE8">
              <w:rPr>
                <w:rFonts w:ascii="Calibri" w:eastAsia="Calibri" w:hAnsi="Calibri" w:cs="Calibri"/>
                <w:color w:val="000000" w:themeColor="text1"/>
                <w:sz w:val="22"/>
                <w:szCs w:val="22"/>
              </w:rPr>
              <w:t>IQ</w:t>
            </w:r>
          </w:p>
          <w:p w14:paraId="18EDA3B1" w14:textId="4F163C89" w:rsidR="0061716B" w:rsidRPr="00353FE8" w:rsidRDefault="0061716B" w:rsidP="0061716B">
            <w:pPr>
              <w:jc w:val="center"/>
              <w:rPr>
                <w:rFonts w:ascii="Calibri" w:eastAsia="Calibri" w:hAnsi="Calibri" w:cs="Calibri"/>
                <w:color w:val="000000" w:themeColor="text1"/>
                <w:sz w:val="22"/>
                <w:szCs w:val="22"/>
              </w:rPr>
            </w:pPr>
            <w:r w:rsidRPr="117D314E">
              <w:rPr>
                <w:color w:val="000000" w:themeColor="text1"/>
              </w:rPr>
              <w:t>Culture Fair Intelligence Test</w:t>
            </w:r>
            <w:r>
              <w:rPr>
                <w:rFonts w:ascii="Calibri" w:eastAsia="Calibri" w:hAnsi="Calibri" w:cs="Calibri"/>
                <w:color w:val="000000" w:themeColor="text1"/>
                <w:sz w:val="22"/>
                <w:szCs w:val="22"/>
              </w:rPr>
              <w:t xml:space="preserve"> </w:t>
            </w:r>
            <w:r w:rsidRPr="00353FE8">
              <w:rPr>
                <w:rFonts w:ascii="Calibri" w:eastAsia="Calibri" w:hAnsi="Calibri" w:cs="Calibri"/>
                <w:color w:val="000000" w:themeColor="text1"/>
                <w:sz w:val="22"/>
                <w:szCs w:val="22"/>
              </w:rPr>
              <w:t>&lt; 85</w:t>
            </w:r>
          </w:p>
        </w:tc>
        <w:tc>
          <w:tcPr>
            <w:tcW w:w="2499" w:type="dxa"/>
            <w:tcBorders>
              <w:top w:val="single" w:sz="6" w:space="0" w:color="7F7F7F" w:themeColor="text1" w:themeTint="80"/>
              <w:left w:val="nil"/>
              <w:bottom w:val="single" w:sz="6" w:space="0" w:color="7F7F7F" w:themeColor="text1" w:themeTint="80"/>
              <w:right w:val="nil"/>
            </w:tcBorders>
            <w:vAlign w:val="center"/>
          </w:tcPr>
          <w:p w14:paraId="6FAD8BAC" w14:textId="3B173159"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SWRT</w:t>
            </w:r>
            <w:r w:rsidRPr="00353FE8">
              <w:rPr>
                <w:rFonts w:ascii="Calibri" w:eastAsia="Calibri" w:hAnsi="Calibri" w:cs="Calibri"/>
                <w:color w:val="000000" w:themeColor="text1"/>
                <w:sz w:val="22"/>
                <w:szCs w:val="22"/>
              </w:rPr>
              <w:t xml:space="preserve"> &lt; -1 SD</w:t>
            </w:r>
          </w:p>
        </w:tc>
        <w:tc>
          <w:tcPr>
            <w:tcW w:w="3030" w:type="dxa"/>
            <w:tcBorders>
              <w:top w:val="single" w:sz="6" w:space="0" w:color="7F7F7F" w:themeColor="text1" w:themeTint="80"/>
              <w:left w:val="nil"/>
              <w:bottom w:val="single" w:sz="6" w:space="0" w:color="7F7F7F" w:themeColor="text1" w:themeTint="80"/>
              <w:right w:val="nil"/>
            </w:tcBorders>
            <w:vAlign w:val="center"/>
          </w:tcPr>
          <w:p w14:paraId="6FD44589"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w:t>
            </w:r>
          </w:p>
        </w:tc>
        <w:tc>
          <w:tcPr>
            <w:tcW w:w="3543" w:type="dxa"/>
            <w:tcBorders>
              <w:top w:val="single" w:sz="6" w:space="0" w:color="7F7F7F" w:themeColor="text1" w:themeTint="80"/>
              <w:left w:val="nil"/>
              <w:bottom w:val="single" w:sz="6" w:space="0" w:color="7F7F7F" w:themeColor="text1" w:themeTint="80"/>
              <w:right w:val="nil"/>
            </w:tcBorders>
            <w:vAlign w:val="center"/>
          </w:tcPr>
          <w:p w14:paraId="59036802" w14:textId="4F84A88B" w:rsidR="0061716B" w:rsidRPr="009C14FD"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lang w:val="it-IT"/>
              </w:rPr>
              <w:fldChar w:fldCharType="begin" w:fldLock="1"/>
            </w:r>
            <w:r w:rsidRPr="002D05FE">
              <w:rPr>
                <w:rFonts w:ascii="Calibri" w:eastAsia="Calibri" w:hAnsi="Calibri" w:cs="Calibri"/>
                <w:color w:val="000000" w:themeColor="text1"/>
                <w:sz w:val="22"/>
                <w:szCs w:val="22"/>
              </w:rPr>
              <w:instrText>ADDIN CSL_CITATION {"citationItems":[{"id":"ITEM-1","itemData":{"abstract":"Weiß, R. H. (2006). Grundintelligenztest Skala 2 Revision (CFT 20-R) [Culture Fair Intelligence Test (CFT 20-R)]. Göttingen: Hogrefe.","author":[{"dropping-particle":"","family":"Weiß RH","given":"","non-dropping-particle":"","parse-names":false,"suffix":""}],"container-title":"Göttingen, Germany: Hogrefe","id":"ITEM-1","issued":{"date-parts":[["1998"]]},"title":"Grundintelligenztest Skala 2. CFT-20 [Culture Fair Intelligence Test]","type":"article-journal"},"uris":["http://www.mendeley.com/documents/?uuid=2adcda74-c6c1-43fe-8d9a-3aa4b3cb2a87"]}],"mendeley":{"formattedCitation":"(Weiß RH, 1998)","plainTextFormattedCitation":"(Weiß RH, 1998)","previouslyFormattedCitation":"(Weiß RH, 1998)"},"properties":{"noteIndex":0},"schema":"https://github.com/citation-style-language/schema/raw/master/csl-citation.json"}</w:instrText>
            </w:r>
            <w:r>
              <w:rPr>
                <w:rFonts w:ascii="Calibri" w:eastAsia="Calibri" w:hAnsi="Calibri" w:cs="Calibri"/>
                <w:color w:val="000000" w:themeColor="text1"/>
                <w:sz w:val="22"/>
                <w:szCs w:val="22"/>
                <w:lang w:val="it-IT"/>
              </w:rPr>
              <w:fldChar w:fldCharType="separate"/>
            </w:r>
            <w:r w:rsidRPr="002D05FE">
              <w:rPr>
                <w:rFonts w:ascii="Calibri" w:eastAsia="Calibri" w:hAnsi="Calibri" w:cs="Calibri"/>
                <w:noProof/>
                <w:color w:val="000000" w:themeColor="text1"/>
                <w:sz w:val="22"/>
                <w:szCs w:val="22"/>
              </w:rPr>
              <w:t>(Weiß RH, 1998)</w:t>
            </w:r>
            <w:r>
              <w:rPr>
                <w:rFonts w:ascii="Calibri" w:eastAsia="Calibri" w:hAnsi="Calibri" w:cs="Calibri"/>
                <w:color w:val="000000" w:themeColor="text1"/>
                <w:sz w:val="22"/>
                <w:szCs w:val="22"/>
                <w:lang w:val="it-IT"/>
              </w:rPr>
              <w:fldChar w:fldCharType="end"/>
            </w:r>
          </w:p>
          <w:p w14:paraId="2F42CB64" w14:textId="77777777" w:rsidR="000F2729" w:rsidRPr="002D05FE" w:rsidRDefault="000F2729" w:rsidP="0061716B">
            <w:pPr>
              <w:jc w:val="center"/>
              <w:rPr>
                <w:rFonts w:ascii="Calibri" w:eastAsia="Calibri" w:hAnsi="Calibri" w:cs="Calibri"/>
                <w:color w:val="000000" w:themeColor="text1"/>
                <w:sz w:val="22"/>
                <w:szCs w:val="22"/>
              </w:rPr>
            </w:pPr>
          </w:p>
          <w:p w14:paraId="46FC0EBE" w14:textId="78C9FA1D" w:rsidR="0061716B" w:rsidRPr="002D05FE"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lang w:val="it-IT"/>
              </w:rPr>
              <w:fldChar w:fldCharType="begin" w:fldLock="1"/>
            </w:r>
            <w:r>
              <w:rPr>
                <w:rFonts w:ascii="Calibri" w:eastAsia="Calibri" w:hAnsi="Calibri" w:cs="Calibri"/>
                <w:color w:val="000000" w:themeColor="text1"/>
                <w:sz w:val="22"/>
                <w:szCs w:val="22"/>
              </w:rPr>
              <w:instrText>ADDIN CSL_CITATION {"citationItems":[{"id":"ITEM-1","itemData":{"DOI":"10.1111/j.1469-7610.1996.tb01477.x","ISSN":"00219630","PMID":"8923224","abstract":"This study examined the familial aggregation of spelling disability in a sample of 32 German school-aged children and their relatives. The influence of two different diagnostic criteria (low-achievement criterion, and regression-based IQ-discrepancy criterion) on the rate of affectedness was investigated. Results revealed that 52.3-61.9% of the sibs and 26-34% of the parents were spelling disabled. Little evidence was found for an influence of the diagnostic criterion on the rate of affectedness.","author":[{"dropping-particle":"","family":"Schulte-Körne","given":"Gerd","non-dropping-particle":"","parse-names":false,"suffix":""},{"dropping-particle":"","family":"Deimel","given":"Wolfgang","non-dropping-particle":"","parse-names":false,"suffix":""},{"dropping-particle":"","family":"Müller","given":"Katarina","non-dropping-particle":"","parse-names":false,"suffix":""},{"dropping-particle":"","family":"Gutenbrunner","given":"Cornelius","non-dropping-particle":"","parse-names":false,"suffix":""},{"dropping-particle":"","family":"Remschmidt","given":"Helmut","non-dropping-particle":"","parse-names":false,"suffix":""}],"container-title":"Journal of Child Psychology and Psychiatry and Allied Disciplines","id":"ITEM-1","issued":{"date-parts":[["1996"]]},"title":"Familial aggregation of spelling disability","type":"article-journal"},"uris":["http://www.mendeley.com/documents/?uuid=98edf61b-411b-49bb-97e8-1adf4ada90ec"]}],"mendeley":{"formattedCitation":"(Schulte-Körne, Deimel, Müller, Gutenbrunner, &amp; Remschmidt, 1996)","plainTextFormattedCitation":"(Schulte-Körne, Deimel, Müller, Gutenbrunner, &amp; Remschmidt, 1996)","previouslyFormattedCitation":"(Schulte-Körne, Deimel, Müller, Gutenbrunner, &amp; Remschmidt, 1996)"},"properties":{"noteIndex":0},"schema":"https://github.com/citation-style-language/schema/raw/master/csl-citation.json"}</w:instrText>
            </w:r>
            <w:r>
              <w:rPr>
                <w:rFonts w:ascii="Calibri" w:eastAsia="Calibri" w:hAnsi="Calibri" w:cs="Calibri"/>
                <w:color w:val="000000" w:themeColor="text1"/>
                <w:sz w:val="22"/>
                <w:szCs w:val="22"/>
                <w:lang w:val="it-IT"/>
              </w:rPr>
              <w:fldChar w:fldCharType="separate"/>
            </w:r>
            <w:r w:rsidRPr="002D05FE">
              <w:rPr>
                <w:rFonts w:ascii="Calibri" w:eastAsia="Calibri" w:hAnsi="Calibri" w:cs="Calibri"/>
                <w:noProof/>
                <w:color w:val="000000" w:themeColor="text1"/>
                <w:sz w:val="22"/>
                <w:szCs w:val="22"/>
              </w:rPr>
              <w:t>(Schulte-Körne, Deimel, Müller, Gutenbrunner, &amp; Remschmidt, 1996)</w:t>
            </w:r>
            <w:r>
              <w:rPr>
                <w:rFonts w:ascii="Calibri" w:eastAsia="Calibri" w:hAnsi="Calibri" w:cs="Calibri"/>
                <w:color w:val="000000" w:themeColor="text1"/>
                <w:sz w:val="22"/>
                <w:szCs w:val="22"/>
                <w:lang w:val="it-IT"/>
              </w:rPr>
              <w:fldChar w:fldCharType="end"/>
            </w:r>
          </w:p>
        </w:tc>
      </w:tr>
      <w:tr w:rsidR="0061716B" w:rsidRPr="00353FE8" w14:paraId="395FE429" w14:textId="77777777" w:rsidTr="000F2729">
        <w:trPr>
          <w:trHeight w:val="300"/>
        </w:trPr>
        <w:tc>
          <w:tcPr>
            <w:tcW w:w="1560" w:type="dxa"/>
            <w:tcBorders>
              <w:top w:val="single" w:sz="6" w:space="0" w:color="7F7F7F" w:themeColor="text1" w:themeTint="80"/>
              <w:left w:val="nil"/>
              <w:bottom w:val="single" w:sz="6" w:space="0" w:color="7F7F7F" w:themeColor="text1" w:themeTint="80"/>
              <w:right w:val="nil"/>
            </w:tcBorders>
            <w:vAlign w:val="center"/>
          </w:tcPr>
          <w:p w14:paraId="5D7D5045"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Toronto  </w:t>
            </w:r>
          </w:p>
        </w:tc>
        <w:tc>
          <w:tcPr>
            <w:tcW w:w="3543" w:type="dxa"/>
            <w:tcBorders>
              <w:top w:val="single" w:sz="6" w:space="0" w:color="7F7F7F" w:themeColor="text1" w:themeTint="80"/>
              <w:left w:val="nil"/>
              <w:bottom w:val="single" w:sz="6" w:space="0" w:color="7F7F7F" w:themeColor="text1" w:themeTint="80"/>
              <w:right w:val="nil"/>
            </w:tcBorders>
            <w:vAlign w:val="center"/>
          </w:tcPr>
          <w:p w14:paraId="0CE54316" w14:textId="089FFC29"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2B7D47F3" w14:textId="03014D83"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WISC-III </w:t>
            </w:r>
            <w:r w:rsidRPr="00353FE8">
              <w:rPr>
                <w:rFonts w:ascii="Calibri" w:eastAsia="Calibri" w:hAnsi="Calibri" w:cs="Calibri"/>
                <w:color w:val="000000" w:themeColor="text1"/>
                <w:sz w:val="22"/>
                <w:szCs w:val="22"/>
              </w:rPr>
              <w:t>&lt; 80</w:t>
            </w:r>
          </w:p>
        </w:tc>
        <w:tc>
          <w:tcPr>
            <w:tcW w:w="2499" w:type="dxa"/>
            <w:tcBorders>
              <w:top w:val="single" w:sz="6" w:space="0" w:color="7F7F7F" w:themeColor="text1" w:themeTint="80"/>
              <w:left w:val="nil"/>
              <w:bottom w:val="single" w:sz="6" w:space="0" w:color="7F7F7F" w:themeColor="text1" w:themeTint="80"/>
              <w:right w:val="nil"/>
            </w:tcBorders>
            <w:vAlign w:val="center"/>
          </w:tcPr>
          <w:p w14:paraId="645C53BB" w14:textId="48041C74"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Scores</w:t>
            </w:r>
            <w:r w:rsidRPr="00353FE8">
              <w:rPr>
                <w:rFonts w:ascii="Calibri" w:eastAsia="Calibri" w:hAnsi="Calibri" w:cs="Calibri"/>
                <w:color w:val="000000" w:themeColor="text1"/>
                <w:sz w:val="22"/>
                <w:szCs w:val="22"/>
              </w:rPr>
              <w:t xml:space="preserve"> &lt; -1.5 SD </w:t>
            </w:r>
            <w:r>
              <w:rPr>
                <w:rFonts w:ascii="Calibri" w:eastAsia="Calibri" w:hAnsi="Calibri" w:cs="Calibri"/>
                <w:color w:val="000000" w:themeColor="text1"/>
                <w:sz w:val="22"/>
                <w:szCs w:val="22"/>
              </w:rPr>
              <w:t>for</w:t>
            </w:r>
            <w:r w:rsidRPr="00353FE8">
              <w:rPr>
                <w:rFonts w:ascii="Calibri" w:eastAsia="Calibri" w:hAnsi="Calibri" w:cs="Calibri"/>
                <w:color w:val="000000" w:themeColor="text1"/>
                <w:sz w:val="22"/>
                <w:szCs w:val="22"/>
              </w:rPr>
              <w:t xml:space="preserve"> 2 out of 3 reading tests</w:t>
            </w:r>
            <w:r>
              <w:rPr>
                <w:rFonts w:ascii="Calibri" w:eastAsia="Calibri" w:hAnsi="Calibri" w:cs="Calibri"/>
                <w:color w:val="000000" w:themeColor="text1"/>
                <w:sz w:val="22"/>
                <w:szCs w:val="22"/>
              </w:rPr>
              <w:t>;</w:t>
            </w:r>
          </w:p>
          <w:p w14:paraId="0CDF5B10" w14:textId="0DE032CC"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 xml:space="preserve">or </w:t>
            </w:r>
            <w:r>
              <w:rPr>
                <w:rFonts w:ascii="Calibri" w:eastAsia="Calibri" w:hAnsi="Calibri" w:cs="Calibri"/>
                <w:color w:val="000000" w:themeColor="text1"/>
                <w:sz w:val="22"/>
                <w:szCs w:val="22"/>
              </w:rPr>
              <w:t>scores</w:t>
            </w:r>
            <w:r w:rsidRPr="00353FE8">
              <w:rPr>
                <w:rFonts w:ascii="Calibri" w:eastAsia="Calibri" w:hAnsi="Calibri" w:cs="Calibri"/>
                <w:color w:val="000000" w:themeColor="text1"/>
                <w:sz w:val="22"/>
                <w:szCs w:val="22"/>
              </w:rPr>
              <w:t xml:space="preserve"> &lt; -1 SD </w:t>
            </w:r>
            <w:r>
              <w:rPr>
                <w:rFonts w:ascii="Calibri" w:eastAsia="Calibri" w:hAnsi="Calibri" w:cs="Calibri"/>
                <w:color w:val="000000" w:themeColor="text1"/>
                <w:sz w:val="22"/>
                <w:szCs w:val="22"/>
              </w:rPr>
              <w:t xml:space="preserve">on </w:t>
            </w:r>
            <w:r w:rsidR="005F1991">
              <w:rPr>
                <w:rFonts w:ascii="Calibri" w:eastAsia="Calibri" w:hAnsi="Calibri" w:cs="Calibri"/>
                <w:color w:val="000000" w:themeColor="text1"/>
                <w:sz w:val="22"/>
                <w:szCs w:val="22"/>
              </w:rPr>
              <w:t xml:space="preserve">average of </w:t>
            </w:r>
            <w:r>
              <w:rPr>
                <w:rFonts w:ascii="Calibri" w:eastAsia="Calibri" w:hAnsi="Calibri" w:cs="Calibri"/>
                <w:color w:val="000000" w:themeColor="text1"/>
                <w:sz w:val="22"/>
                <w:szCs w:val="22"/>
              </w:rPr>
              <w:t>all three tests</w:t>
            </w:r>
          </w:p>
          <w:p w14:paraId="718ABE76" w14:textId="3D8F6723"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i) WRMT, Word identification</w:t>
            </w:r>
          </w:p>
          <w:p w14:paraId="40494085" w14:textId="60C4667B"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ii) WRMT, Word Attack</w:t>
            </w:r>
          </w:p>
          <w:p w14:paraId="003E09CD" w14:textId="493F3AAF"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iii) WRAT-3</w:t>
            </w:r>
          </w:p>
        </w:tc>
        <w:tc>
          <w:tcPr>
            <w:tcW w:w="3030" w:type="dxa"/>
            <w:tcBorders>
              <w:top w:val="single" w:sz="6" w:space="0" w:color="7F7F7F" w:themeColor="text1" w:themeTint="80"/>
              <w:left w:val="nil"/>
              <w:bottom w:val="single" w:sz="6" w:space="0" w:color="7F7F7F" w:themeColor="text1" w:themeTint="80"/>
              <w:right w:val="nil"/>
            </w:tcBorders>
            <w:vAlign w:val="center"/>
          </w:tcPr>
          <w:p w14:paraId="670AACC0" w14:textId="65987A34"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&gt; 0 for all reading tests</w:t>
            </w:r>
          </w:p>
        </w:tc>
        <w:tc>
          <w:tcPr>
            <w:tcW w:w="3543" w:type="dxa"/>
            <w:tcBorders>
              <w:top w:val="single" w:sz="6" w:space="0" w:color="7F7F7F" w:themeColor="text1" w:themeTint="80"/>
              <w:left w:val="nil"/>
              <w:bottom w:val="single" w:sz="6" w:space="0" w:color="7F7F7F" w:themeColor="text1" w:themeTint="80"/>
              <w:right w:val="nil"/>
            </w:tcBorders>
            <w:vAlign w:val="center"/>
          </w:tcPr>
          <w:p w14:paraId="739F800E" w14:textId="2EC7203D"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Wechsler","given":"David","non-dropping-particle":"","parse-names":false,"suffix":""},{"dropping-particle":"","family":"Golombok","given":"S","non-dropping-particle":"","parse-names":false,"suffix":""},{"dropping-particle":"","family":"Rust","given":"J","non-dropping-particle":"","parse-names":false,"suffix":""}],"id":"ITEM-1","issued":{"date-parts":[["1992"]]},"publisher":"The Psycological Corporation","publisher-place":"Sidcup, UK","title":"WISC-IIIUK: Wechsler Intelligence Scale for Children.","type":"book"},"uris":["http://www.mendeley.com/documents/?uuid=3378730b-c0e7-42ee-a7b0-d1b52d969fdc"]}],"mendeley":{"formattedCitation":"(Wechsler et al., 1992)","plainTextFormattedCitation":"(Wechsler et al., 1992)","previouslyFormattedCitation":"(Wechsler et al., 1992)"},"properties":{"noteIndex":0},"schema":"https://github.com/citation-style-language/schema/raw/master/csl-citation.json"}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054655">
              <w:rPr>
                <w:rFonts w:ascii="Calibri" w:eastAsia="Calibri" w:hAnsi="Calibri" w:cs="Calibri"/>
                <w:noProof/>
                <w:color w:val="000000" w:themeColor="text1"/>
                <w:sz w:val="22"/>
                <w:szCs w:val="22"/>
              </w:rPr>
              <w:t>(Wechsler et al., 1992)</w:t>
            </w:r>
            <w:r>
              <w:rPr>
                <w:rFonts w:ascii="Calibri" w:eastAsia="Calibri" w:hAnsi="Calibri" w:cs="Calibri"/>
                <w:color w:val="000000" w:themeColor="text1"/>
                <w:sz w:val="22"/>
                <w:szCs w:val="22"/>
              </w:rPr>
              <w:fldChar w:fldCharType="end"/>
            </w:r>
          </w:p>
          <w:p w14:paraId="282C85B9" w14:textId="77777777" w:rsidR="000F2729" w:rsidRDefault="000F2729" w:rsidP="0061716B">
            <w:pPr>
              <w:jc w:val="center"/>
              <w:rPr>
                <w:rFonts w:ascii="Calibri" w:eastAsia="Calibri" w:hAnsi="Calibri" w:cs="Calibri"/>
                <w:color w:val="000000" w:themeColor="text1"/>
                <w:sz w:val="22"/>
                <w:szCs w:val="22"/>
              </w:rPr>
            </w:pPr>
          </w:p>
          <w:p w14:paraId="1CE00551" w14:textId="5BECC704"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{"citationItems":[{"id":"ITEM-1","itemData":{"author":[{"dropping-particle":"","family":"Woodcock","given":"Richard W","non-dropping-particle":"","parse-names":false,"suffix":""}],"id":"ITEM-1","issued":{"date-parts":[["1987"]]},"publisher":"American Guidance Service Circle Pines, MN","title":"Woodcock reading mastery tests-revised","type":"book"},"uris":["http://www.mendeley.com/documents/?uuid=aee93a58-39ef-47e3-8388-7a139a21b973"]}],"mendeley":{"formattedCitation":"(Woodcock, 1987)","plainTextFormattedCitation":"(Woodcock, 1987)","previouslyFormattedCitation":"(Woodcock, 1987)"},"properties":{"noteIndex":0},"schema":"https://github.com/citation-style-language/schema/raw/master/csl-citation.json"}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054655">
              <w:rPr>
                <w:rFonts w:ascii="Calibri" w:eastAsia="Calibri" w:hAnsi="Calibri" w:cs="Calibri"/>
                <w:noProof/>
                <w:color w:val="000000" w:themeColor="text1"/>
                <w:sz w:val="22"/>
                <w:szCs w:val="22"/>
              </w:rPr>
              <w:t>(Woodcock, 1987)</w:t>
            </w:r>
            <w:r>
              <w:rPr>
                <w:rFonts w:ascii="Calibri" w:eastAsia="Calibri" w:hAnsi="Calibri" w:cs="Calibri"/>
                <w:color w:val="000000" w:themeColor="text1"/>
                <w:sz w:val="22"/>
                <w:szCs w:val="22"/>
              </w:rPr>
              <w:fldChar w:fldCharType="end"/>
            </w:r>
          </w:p>
          <w:p w14:paraId="259BC2B7" w14:textId="77777777" w:rsidR="000F2729" w:rsidRDefault="000F2729" w:rsidP="0061716B">
            <w:pPr>
              <w:jc w:val="center"/>
              <w:rPr>
                <w:rFonts w:ascii="Calibri" w:eastAsia="Calibri" w:hAnsi="Calibri" w:cs="Calibri"/>
                <w:color w:val="000000" w:themeColor="text1"/>
                <w:sz w:val="22"/>
                <w:szCs w:val="22"/>
              </w:rPr>
            </w:pPr>
          </w:p>
          <w:p w14:paraId="46C2C72D" w14:textId="19162E62"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{"citationItems":[{"id":"ITEM-1","itemData":{"abstract":"The Fourth Edition of this classic test measures the basic academic skills of reading, spelling, and mathematical computation necessary for effective learning, communication, and thinking. The latest edition features an entirely new subtest, Sentence ... \\n","author":[{"dropping-particle":"","family":"Wilkinson","given":"G","non-dropping-particle":"","parse-names":false,"suffix":""}],"container-title":"Wide Range Inc","id":"ITEM-1","issued":{"date-parts":[["1993"]]},"title":"Wide Range Achievement Test WRAT","type":"article-journal"},"uris":["http://www.mendeley.com/documents/?uuid=8d38a89f-9560-450e-b22c-53c79e83e7a2"]}],"mendeley":{"formattedCitation":"(Wilkinson, 1993)","plainTextFormattedCitation":"(Wilkinson, 1993)","previouslyFormattedCitation":"(Wilkinson, 1993)"},"properties":{"noteIndex":0},"schema":"https://github.com/citation-style-language/schema/raw/master/csl-citation.json"}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054655">
              <w:rPr>
                <w:rFonts w:ascii="Calibri" w:eastAsia="Calibri" w:hAnsi="Calibri" w:cs="Calibri"/>
                <w:noProof/>
                <w:color w:val="000000" w:themeColor="text1"/>
                <w:sz w:val="22"/>
                <w:szCs w:val="22"/>
              </w:rPr>
              <w:t>(Wilkinson, 1993)</w:t>
            </w:r>
            <w:r>
              <w:rPr>
                <w:rFonts w:ascii="Calibri" w:eastAsia="Calibri" w:hAnsi="Calibri" w:cs="Calibri"/>
                <w:color w:val="000000" w:themeColor="text1"/>
                <w:sz w:val="22"/>
                <w:szCs w:val="22"/>
              </w:rPr>
              <w:fldChar w:fldCharType="end"/>
            </w:r>
          </w:p>
        </w:tc>
      </w:tr>
      <w:tr w:rsidR="0061716B" w:rsidRPr="00353FE8" w14:paraId="3DB56858" w14:textId="77777777" w:rsidTr="000F2729">
        <w:trPr>
          <w:trHeight w:val="300"/>
        </w:trPr>
        <w:tc>
          <w:tcPr>
            <w:tcW w:w="1560" w:type="dxa"/>
            <w:tcBorders>
              <w:top w:val="single" w:sz="6" w:space="0" w:color="7F7F7F" w:themeColor="text1" w:themeTint="80"/>
              <w:left w:val="nil"/>
              <w:bottom w:val="single" w:sz="4" w:space="0" w:color="auto"/>
              <w:right w:val="nil"/>
            </w:tcBorders>
            <w:vAlign w:val="center"/>
          </w:tcPr>
          <w:p w14:paraId="2EC0D86E" w14:textId="7BD741DE"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UKDYS</w:t>
            </w:r>
          </w:p>
        </w:tc>
        <w:tc>
          <w:tcPr>
            <w:tcW w:w="3543" w:type="dxa"/>
            <w:tcBorders>
              <w:top w:val="single" w:sz="6" w:space="0" w:color="7F7F7F" w:themeColor="text1" w:themeTint="80"/>
              <w:left w:val="nil"/>
              <w:bottom w:val="single" w:sz="4" w:space="0" w:color="auto"/>
              <w:right w:val="nil"/>
            </w:tcBorders>
            <w:vAlign w:val="center"/>
          </w:tcPr>
          <w:p w14:paraId="4BD88958" w14:textId="0D26A271"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373BBE24" w14:textId="13D6D3CE"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WISC-III </w:t>
            </w:r>
            <w:r w:rsidRPr="00353FE8">
              <w:rPr>
                <w:rFonts w:ascii="Calibri" w:eastAsia="Calibri" w:hAnsi="Calibri" w:cs="Calibri"/>
                <w:color w:val="000000" w:themeColor="text1"/>
                <w:sz w:val="22"/>
                <w:szCs w:val="22"/>
              </w:rPr>
              <w:t>&lt; 85</w:t>
            </w:r>
          </w:p>
        </w:tc>
        <w:tc>
          <w:tcPr>
            <w:tcW w:w="2499" w:type="dxa"/>
            <w:tcBorders>
              <w:top w:val="single" w:sz="6" w:space="0" w:color="7F7F7F" w:themeColor="text1" w:themeTint="80"/>
              <w:left w:val="nil"/>
              <w:bottom w:val="single" w:sz="4" w:space="0" w:color="auto"/>
              <w:right w:val="nil"/>
            </w:tcBorders>
            <w:vAlign w:val="center"/>
          </w:tcPr>
          <w:p w14:paraId="09FA3E2D" w14:textId="17283989"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WR (BAS)</w:t>
            </w:r>
            <w:r w:rsidRPr="00353FE8">
              <w:rPr>
                <w:rFonts w:ascii="Calibri" w:eastAsia="Calibri" w:hAnsi="Calibri" w:cs="Calibri"/>
                <w:color w:val="000000" w:themeColor="text1"/>
                <w:sz w:val="22"/>
                <w:szCs w:val="22"/>
              </w:rPr>
              <w:t xml:space="preserve"> &lt; -1 SD</w:t>
            </w:r>
          </w:p>
        </w:tc>
        <w:tc>
          <w:tcPr>
            <w:tcW w:w="3030" w:type="dxa"/>
            <w:tcBorders>
              <w:top w:val="single" w:sz="6" w:space="0" w:color="7F7F7F" w:themeColor="text1" w:themeTint="80"/>
              <w:left w:val="nil"/>
              <w:bottom w:val="single" w:sz="4" w:space="0" w:color="auto"/>
              <w:right w:val="nil"/>
            </w:tcBorders>
            <w:vAlign w:val="center"/>
          </w:tcPr>
          <w:p w14:paraId="603008AE"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w:t>
            </w:r>
          </w:p>
        </w:tc>
        <w:tc>
          <w:tcPr>
            <w:tcW w:w="3543" w:type="dxa"/>
            <w:tcBorders>
              <w:top w:val="single" w:sz="6" w:space="0" w:color="7F7F7F" w:themeColor="text1" w:themeTint="80"/>
              <w:left w:val="nil"/>
              <w:bottom w:val="single" w:sz="4" w:space="0" w:color="auto"/>
              <w:right w:val="nil"/>
            </w:tcBorders>
            <w:vAlign w:val="center"/>
          </w:tcPr>
          <w:p w14:paraId="7D6DA684" w14:textId="4664617A"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Wechsler","given":"David","non-dropping-particle":"","parse-names":false,"suffix":""},{"dropping-particle":"","family":"Golombok","given":"S","non-dropping-particle":"","parse-names":false,"suffix":""},{"dropping-particle":"","family":"Rust","given":"J","non-dropping-particle":"","parse-names":false,"suffix":""}],"id":"ITEM-1","issued":{"date-parts":[["1992"]]},"publisher":"The Psycological Corporation","publisher-place":"Sidcup, UK","title":"WISC-IIIUK: Wechsler Intelligence Scale for Children.","type":"book"},"uris":["http://www.mendeley.com/documents/?uuid=3378730b-c0e7-42ee-a7b0-d1b52d969fdc"]}],"mendeley":{"formattedCitation":"(Wechsler et al., 1992)","plainTextFormattedCitation":"(Wechsler et al., 1992)","previouslyFormattedCitation":"(Wechsler et al., 1992)"},"properties":{"noteIndex":0},"schema":"https://github.com/citation-style-language/schema/raw/master/csl-citation.json"}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054655">
              <w:rPr>
                <w:rFonts w:ascii="Calibri" w:eastAsia="Calibri" w:hAnsi="Calibri" w:cs="Calibri"/>
                <w:noProof/>
                <w:color w:val="000000" w:themeColor="text1"/>
                <w:sz w:val="22"/>
                <w:szCs w:val="22"/>
              </w:rPr>
              <w:t>(Wechsler et al., 1992)</w:t>
            </w:r>
            <w:r>
              <w:rPr>
                <w:rFonts w:ascii="Calibri" w:eastAsia="Calibri" w:hAnsi="Calibri" w:cs="Calibri"/>
                <w:color w:val="000000" w:themeColor="text1"/>
                <w:sz w:val="22"/>
                <w:szCs w:val="22"/>
              </w:rPr>
              <w:fldChar w:fldCharType="end"/>
            </w:r>
          </w:p>
          <w:p w14:paraId="13FC6049" w14:textId="77777777" w:rsidR="000F2729" w:rsidRDefault="000F2729" w:rsidP="0061716B">
            <w:pPr>
              <w:jc w:val="center"/>
              <w:rPr>
                <w:rFonts w:ascii="Calibri" w:eastAsia="Calibri" w:hAnsi="Calibri" w:cs="Calibri"/>
                <w:color w:val="000000" w:themeColor="text1"/>
                <w:sz w:val="22"/>
                <w:szCs w:val="22"/>
              </w:rPr>
            </w:pPr>
          </w:p>
          <w:p w14:paraId="36C4F9F1" w14:textId="0AA5EF3F"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{"citationItems":[{"id":"ITEM-1","itemData":{"PMID":"7171921","abstract":"The use of the British Ability Scales with children having specific reading difficulties is described. Eighty-three children aged eight to 16 years were given a number of subtests from the British Ability Scales, and their performance on each subtest compared to every other subtest. The children were also divided into three age groups and developmental differences observed. Based on T scores the children scored significantly less well on Speed of Information Processing, Immediate and Delayed Visual Recall, Recall of Digits, Basic Arithmetic and Word Reading across all the age ranges, when compared to the other abilities. In general subtests involving Speed of Precessing and Short Term Memory were poor, whereas tasks involving Reasoning, Spatial Imagery and aspects of the Use of the Retrieval of Knowledge were found to be average or above average. Expected reading ages for the children based on other abilities were calculated, and it was found that the children's reading abilities were well below the expected level. Various forms of intelligence quotient were also computed and it is suggested that the four abilities recommended for use in computing an IQ in the current BAS Manual are inappropriate for the dyslexic child. The children were also divided into auditory-linguistic and visuo-spatial 'subtypes' of dyslexia, and significant differences were found between the groups on Speed of Information Processing, Recall of Digits, and Block Design Level and Power. The data are related to previous work in the area of developmental dyslexia.","author":[{"dropping-particle":"","family":"Thomson","given":"M E","non-dropping-particle":"","parse-names":false,"suffix":""}],"container-title":"Br J Psychol","id":"ITEM-1","issue":"Pt 4","issued":{"date-parts":[["1982"]]},"note":"0007-1269 (Print)\nJournal Article","page":"461-478","title":"The assessment of children with specific reading difficulties (dyslexia) using the British Ability Scales","type":"article-journal","volume":"73"},"uris":["http://www.mendeley.com/documents/?uuid=4290d542-734b-47d5-9ff4-1bd01d779a9d"]}],"mendeley":{"formattedCitation":"(Thomson, 1982)","plainTextFormattedCitation":"(Thomson, 1982)","previouslyFormattedCitation":"(Thomson, 1982)"},"properties":{"noteIndex":0},"schema":"https://github.com/citation-style-language/schema/raw/master/csl-citation.json"}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054655">
              <w:rPr>
                <w:rFonts w:ascii="Calibri" w:eastAsia="Calibri" w:hAnsi="Calibri" w:cs="Calibri"/>
                <w:noProof/>
                <w:color w:val="000000" w:themeColor="text1"/>
                <w:sz w:val="22"/>
                <w:szCs w:val="22"/>
              </w:rPr>
              <w:t>(Thomson, 1982)</w:t>
            </w:r>
            <w:r>
              <w:rPr>
                <w:rFonts w:ascii="Calibri" w:eastAsia="Calibri" w:hAnsi="Calibri" w:cs="Calibri"/>
                <w:color w:val="000000" w:themeColor="text1"/>
                <w:sz w:val="22"/>
                <w:szCs w:val="22"/>
              </w:rPr>
              <w:fldChar w:fldCharType="end"/>
            </w:r>
          </w:p>
        </w:tc>
      </w:tr>
      <w:tr w:rsidR="0061716B" w:rsidRPr="00353FE8" w14:paraId="4D974B21" w14:textId="77777777" w:rsidTr="00F6772E">
        <w:trPr>
          <w:trHeight w:val="1712"/>
        </w:trPr>
        <w:tc>
          <w:tcPr>
            <w:tcW w:w="1560" w:type="dxa"/>
            <w:tcBorders>
              <w:top w:val="single" w:sz="4" w:space="0" w:color="auto"/>
              <w:left w:val="nil"/>
              <w:right w:val="nil"/>
            </w:tcBorders>
            <w:vAlign w:val="center"/>
          </w:tcPr>
          <w:p w14:paraId="7370D0FB"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York Reading </w:t>
            </w:r>
          </w:p>
        </w:tc>
        <w:tc>
          <w:tcPr>
            <w:tcW w:w="3543" w:type="dxa"/>
            <w:vMerge w:val="restart"/>
            <w:tcBorders>
              <w:top w:val="single" w:sz="4" w:space="0" w:color="auto"/>
              <w:left w:val="nil"/>
              <w:right w:val="nil"/>
            </w:tcBorders>
            <w:vAlign w:val="center"/>
          </w:tcPr>
          <w:p w14:paraId="10BDA9A6" w14:textId="0ECCB8B4" w:rsidR="0061716B"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color w:val="000000" w:themeColor="text1"/>
                <w:sz w:val="22"/>
                <w:szCs w:val="22"/>
              </w:rPr>
              <w:t>Performance IQ</w:t>
            </w:r>
          </w:p>
          <w:p w14:paraId="667F82E4" w14:textId="034DECEE"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WISC-IV </w:t>
            </w:r>
            <w:r w:rsidRPr="00353FE8">
              <w:rPr>
                <w:rFonts w:ascii="Calibri" w:eastAsia="Calibri" w:hAnsi="Calibri" w:cs="Calibri"/>
                <w:color w:val="000000" w:themeColor="text1"/>
                <w:sz w:val="22"/>
                <w:szCs w:val="22"/>
              </w:rPr>
              <w:t>&lt; 85</w:t>
            </w:r>
          </w:p>
          <w:p w14:paraId="4A0E254B" w14:textId="61026557" w:rsidR="0061716B" w:rsidRPr="00353FE8" w:rsidRDefault="0061716B" w:rsidP="0061716B">
            <w:pPr>
              <w:jc w:val="center"/>
              <w:rPr>
                <w:rFonts w:ascii="Calibri" w:eastAsia="Calibri" w:hAnsi="Calibri" w:cs="Calibri"/>
                <w:color w:val="000000" w:themeColor="text1"/>
                <w:sz w:val="22"/>
                <w:szCs w:val="22"/>
              </w:rPr>
            </w:pPr>
          </w:p>
        </w:tc>
        <w:tc>
          <w:tcPr>
            <w:tcW w:w="2499" w:type="dxa"/>
            <w:tcBorders>
              <w:top w:val="single" w:sz="4" w:space="0" w:color="auto"/>
              <w:left w:val="nil"/>
              <w:right w:val="nil"/>
            </w:tcBorders>
            <w:vAlign w:val="center"/>
          </w:tcPr>
          <w:p w14:paraId="1BB98EAE" w14:textId="216A3723"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CRS (SWRT; WIAT)</w:t>
            </w:r>
            <w:r w:rsidRPr="00353FE8">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&lt; </w:t>
            </w:r>
            <w:r w:rsidRPr="00353FE8">
              <w:rPr>
                <w:rFonts w:ascii="Calibri" w:eastAsia="Calibri" w:hAnsi="Calibri" w:cs="Calibri"/>
                <w:color w:val="000000" w:themeColor="text1"/>
                <w:sz w:val="22"/>
                <w:szCs w:val="22"/>
              </w:rPr>
              <w:t>-1 SD</w:t>
            </w:r>
          </w:p>
        </w:tc>
        <w:tc>
          <w:tcPr>
            <w:tcW w:w="3030" w:type="dxa"/>
            <w:vMerge w:val="restart"/>
            <w:tcBorders>
              <w:top w:val="single" w:sz="4" w:space="0" w:color="auto"/>
              <w:left w:val="nil"/>
              <w:right w:val="nil"/>
            </w:tcBorders>
            <w:vAlign w:val="center"/>
          </w:tcPr>
          <w:p w14:paraId="619A7AA4" w14:textId="77777777"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CRS</w:t>
            </w:r>
            <w:r w:rsidRPr="00353FE8">
              <w:rPr>
                <w:rFonts w:ascii="Calibri" w:eastAsia="Calibri" w:hAnsi="Calibri" w:cs="Calibri"/>
                <w:color w:val="000000" w:themeColor="text1"/>
                <w:sz w:val="22"/>
                <w:szCs w:val="22"/>
              </w:rPr>
              <w:t xml:space="preserve"> &gt; 0</w:t>
            </w:r>
          </w:p>
          <w:p w14:paraId="69538561" w14:textId="77777777"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CRL &gt; 0</w:t>
            </w:r>
          </w:p>
          <w:p w14:paraId="38A37A49" w14:textId="1780427E" w:rsidR="0061716B" w:rsidRPr="00353FE8" w:rsidRDefault="0061716B" w:rsidP="0061716B">
            <w:pPr>
              <w:jc w:val="center"/>
              <w:rPr>
                <w:rFonts w:ascii="Calibri" w:eastAsia="Calibri" w:hAnsi="Calibri" w:cs="Calibri"/>
                <w:color w:val="000000" w:themeColor="text1"/>
                <w:sz w:val="22"/>
                <w:szCs w:val="22"/>
              </w:rPr>
            </w:pPr>
          </w:p>
        </w:tc>
        <w:tc>
          <w:tcPr>
            <w:tcW w:w="3543" w:type="dxa"/>
            <w:tcBorders>
              <w:top w:val="single" w:sz="4" w:space="0" w:color="auto"/>
              <w:left w:val="nil"/>
              <w:right w:val="nil"/>
            </w:tcBorders>
            <w:vAlign w:val="center"/>
          </w:tcPr>
          <w:p w14:paraId="49DD4D70" w14:textId="797A2695" w:rsidR="000F2729" w:rsidRDefault="0061716B" w:rsidP="00F6772E">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{"citationItems":[{"id":"ITEM-1","itemData":{"author":[{"dropping-particle":"","family":"Wechsler","given":"David","non-dropping-particle":"","parse-names":false,"suffix":""}],"container-title":"The Psychological Corporation San Antonio, TX","id":"ITEM-1","issued":{"date-parts":[["2012"]]},"title":"Wechsler preschool and primary scale of intelligence—fourth edition","type":"article-journal"},"uris":["http://www.mendeley.com/documents/?uuid=5f6a175e-3687-4bc5-8524-56b44d8df8a8"]}],"mendeley":{"formattedCitation":"(Wechsler, 2012)","plainTextFormattedCitation":"(Wechsler, 2012)","previouslyFormattedCitation":"(Wechsler, 2012)"},"properties":{"noteIndex":0},"schema":"https://github.com/citation-style-language/schema/raw/master/csl-citation.json"}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8E55E8">
              <w:rPr>
                <w:rFonts w:ascii="Calibri" w:eastAsia="Calibri" w:hAnsi="Calibri" w:cs="Calibri"/>
                <w:noProof/>
                <w:color w:val="000000" w:themeColor="text1"/>
                <w:sz w:val="22"/>
                <w:szCs w:val="22"/>
              </w:rPr>
              <w:t>(Wechsler, 2012)</w:t>
            </w:r>
            <w:r>
              <w:rPr>
                <w:rFonts w:ascii="Calibri" w:eastAsia="Calibri" w:hAnsi="Calibri" w:cs="Calibri"/>
                <w:color w:val="000000" w:themeColor="text1"/>
                <w:sz w:val="22"/>
                <w:szCs w:val="22"/>
              </w:rPr>
              <w:fldChar w:fldCharType="end"/>
            </w:r>
          </w:p>
          <w:p w14:paraId="5E271E6F" w14:textId="77777777" w:rsidR="008848FC" w:rsidRDefault="008848FC" w:rsidP="00F6772E">
            <w:pPr>
              <w:jc w:val="center"/>
              <w:rPr>
                <w:rFonts w:ascii="Calibri" w:eastAsia="Calibri" w:hAnsi="Calibri" w:cs="Calibri"/>
                <w:color w:val="000000" w:themeColor="text1"/>
                <w:sz w:val="22"/>
                <w:szCs w:val="22"/>
              </w:rPr>
            </w:pPr>
          </w:p>
          <w:p w14:paraId="526A61B3" w14:textId="2D5FE1BB" w:rsidR="0061716B"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{"citationItems":[{"id":"ITEM-1","itemData":{"author":[{"dropping-particle":"","family":"Foster","given":"H.","non-dropping-particle":"","parse-names":false,"suffix":""}],"container-title":"Windsor: NFER-Nelson.","id":"ITEM-1","issued":{"date-parts":[["2007"]]},"title":"Single word reading test 6-16","type":"article-journal"},"uris":["http://www.mendeley.com/documents/?uuid=b4a057e0-8e8b-4742-bc07-68d902bc4730"]}],"mendeley":{"formattedCitation":"(Foster, 2007)","plainTextFormattedCitation":"(Foster, 2007)","previouslyFormattedCitation":"(Foster, 2007)"},"properties":{"noteIndex":0},"schema":"https://github.com/citation-style-language/schema/raw/master/csl-citation.json"}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8E55E8">
              <w:rPr>
                <w:rFonts w:ascii="Calibri" w:eastAsia="Calibri" w:hAnsi="Calibri" w:cs="Calibri"/>
                <w:noProof/>
                <w:color w:val="000000" w:themeColor="text1"/>
                <w:sz w:val="22"/>
                <w:szCs w:val="22"/>
              </w:rPr>
              <w:t>(Foster, 2007)</w:t>
            </w:r>
            <w:r>
              <w:rPr>
                <w:rFonts w:ascii="Calibri" w:eastAsia="Calibri" w:hAnsi="Calibri" w:cs="Calibri"/>
                <w:color w:val="000000" w:themeColor="text1"/>
                <w:sz w:val="22"/>
                <w:szCs w:val="22"/>
              </w:rPr>
              <w:fldChar w:fldCharType="end"/>
            </w:r>
          </w:p>
          <w:p w14:paraId="5263961A" w14:textId="77777777" w:rsidR="000F2729" w:rsidRDefault="000F2729" w:rsidP="0061716B">
            <w:pPr>
              <w:jc w:val="center"/>
              <w:rPr>
                <w:rFonts w:ascii="Calibri" w:eastAsia="Calibri" w:hAnsi="Calibri" w:cs="Calibri"/>
                <w:color w:val="000000" w:themeColor="text1"/>
                <w:sz w:val="22"/>
                <w:szCs w:val="22"/>
              </w:rPr>
            </w:pPr>
          </w:p>
          <w:p w14:paraId="277BA5E0" w14:textId="0DFF6D73" w:rsidR="0061716B" w:rsidRPr="00353FE8" w:rsidRDefault="0061716B" w:rsidP="0061716B">
            <w:pPr>
              <w:jc w:val="center"/>
              <w:rPr>
                <w:rFonts w:ascii="Calibri" w:eastAsia="Calibri" w:hAnsi="Calibri" w:cs="Calibri"/>
                <w:color w:val="000000" w:themeColor="text1"/>
                <w:sz w:val="22"/>
                <w:szCs w:val="22"/>
              </w:rPr>
            </w:pPr>
            <w:r>
              <w:rPr>
                <w:sz w:val="22"/>
                <w:szCs w:val="22"/>
              </w:rPr>
              <w:fldChar w:fldCharType="begin" w:fldLock="1"/>
            </w:r>
            <w:r>
              <w:rPr>
                <w:sz w:val="22"/>
                <w:szCs w:val="22"/>
              </w:rPr>
              <w:instrText>ADDIN CSL_CITATION {"citationItems":[{"id":"ITEM-1","itemData":{"ISBN":"9780749128005","abstract":"2nd UK ed. Access restricted to researchers supervised by researcher registered with Harcourt Assessment. Not to be made available on open access. Examiner's manual -- Stimulus books 1 and 2 --Pseudowords pronunciation CD-Rom -- UK scoring and normative supplement: ages 4 years to 16 years 11 months -- Response booklets (pack of 25) -- Record forms (pack of 25) -- Word and Pseudoword cards -- Contents list.","author":[{"dropping-particle":"","family":"Wechsler","given":"David","non-dropping-particle":"","parse-names":false,"suffix":""}],"container-title":"WIAT-II UK","id":"ITEM-1","issued":{"date-parts":[["2005"]]},"title":"Wechsler Individual Achievement Test (WIAT-II UK)","type":"book"},"uris":["http://www.mendeley.com/documents/?uuid=76fb87ea-fcc9-46ea-97dd-e4d1bfafc85f"]}],"mendeley":{"formattedCitation":"(Wechsler, 2005)","plainTextFormattedCitation":"(Wechsler, 2005)","previouslyFormattedCitation":"(Wechsler, 2005)"},"properties":{"noteIndex":0},"schema":"https://github.com/citation-style-language/schema/raw/master/csl-citation.json"}</w:instrText>
            </w:r>
            <w:r>
              <w:rPr>
                <w:sz w:val="22"/>
                <w:szCs w:val="22"/>
              </w:rPr>
              <w:fldChar w:fldCharType="separate"/>
            </w:r>
            <w:r w:rsidRPr="008E55E8">
              <w:rPr>
                <w:noProof/>
                <w:sz w:val="22"/>
                <w:szCs w:val="22"/>
              </w:rPr>
              <w:t>(Wechsler, 2005)</w:t>
            </w:r>
            <w:r>
              <w:rPr>
                <w:sz w:val="22"/>
                <w:szCs w:val="22"/>
              </w:rPr>
              <w:fldChar w:fldCharType="end"/>
            </w:r>
            <w:r w:rsidRPr="00353FE8">
              <w:rPr>
                <w:sz w:val="22"/>
                <w:szCs w:val="22"/>
              </w:rPr>
              <w:br/>
            </w:r>
            <w:r w:rsidRPr="00353FE8">
              <w:rPr>
                <w:sz w:val="22"/>
                <w:szCs w:val="22"/>
              </w:rPr>
              <w:br/>
            </w:r>
            <w:r>
              <w:rPr>
                <w:rFonts w:ascii="Calibri" w:eastAsia="Calibri" w:hAnsi="Calibri" w:cs="Calibri"/>
                <w:color w:val="000000" w:themeColor="text1"/>
                <w:sz w:val="22"/>
                <w:szCs w:val="22"/>
              </w:rPr>
              <w:fldChar w:fldCharType="begin" w:fldLock="1"/>
            </w:r>
            <w:r>
              <w:rPr>
                <w:rFonts w:ascii="Calibri" w:eastAsia="Calibri" w:hAnsi="Calibri" w:cs="Calibri"/>
                <w:color w:val="000000" w:themeColor="text1"/>
                <w:sz w:val="22"/>
                <w:szCs w:val="22"/>
              </w:rPr>
              <w:instrText>ADDIN CSL_CITATION {"citationItems":[{"id":"ITEM-1","itemData":{"author":[{"dropping-particle":"","family":"Semel","given":"E.m.","non-dropping-particle":"","parse-names":false,"suffix":""},{"dropping-particle":"","family":"Wiig","given":"E H","non-dropping-particle":"","parse-names":false,"suffix":""},{"dropping-particle":"","family":"Secord","given":"W","non-dropping-particle":"","parse-names":false,"suffix":""}],"id":"ITEM-1","issued":{"date-parts":[["1992"]]},"publisher":"Psychological Corporation","publisher-place":"San Antonio","title":"Clinical Evaluation of Language Fundamentals-Revised","type":"book"},"uris":["http://www.mendeley.com/documents/?uuid=ce8a7484-974d-42a6-9252-4b889b3a7bfc"]}],"mendeley":{"formattedCitation":"(Semel, Wiig, &amp; Secord, 1992)","plainTextFormattedCitation":"(Semel, Wiig, &amp; Secord, 1992)","previouslyFormattedCitation":"(Semel, Wiig, &amp; Secord, 1992)"},"properties":{"noteIndex":0},"schema":"https://github.com/citation-style-language/schema/raw/master/csl-citation.json"}</w:instrText>
            </w:r>
            <w:r>
              <w:rPr>
                <w:rFonts w:ascii="Calibri" w:eastAsia="Calibri" w:hAnsi="Calibri" w:cs="Calibri"/>
                <w:color w:val="000000" w:themeColor="text1"/>
                <w:sz w:val="22"/>
                <w:szCs w:val="22"/>
              </w:rPr>
              <w:fldChar w:fldCharType="separate"/>
            </w:r>
            <w:r w:rsidRPr="008E55E8">
              <w:rPr>
                <w:rFonts w:ascii="Calibri" w:eastAsia="Calibri" w:hAnsi="Calibri" w:cs="Calibri"/>
                <w:noProof/>
                <w:color w:val="000000" w:themeColor="text1"/>
                <w:sz w:val="22"/>
                <w:szCs w:val="22"/>
              </w:rPr>
              <w:t>(Semel, Wiig, &amp; Secord, 1992)</w:t>
            </w:r>
            <w:r>
              <w:rPr>
                <w:rFonts w:ascii="Calibri" w:eastAsia="Calibri" w:hAnsi="Calibri" w:cs="Calibri"/>
                <w:color w:val="000000" w:themeColor="text1"/>
                <w:sz w:val="22"/>
                <w:szCs w:val="22"/>
              </w:rPr>
              <w:fldChar w:fldCharType="end"/>
            </w:r>
          </w:p>
        </w:tc>
      </w:tr>
      <w:tr w:rsidR="0061716B" w:rsidRPr="00353FE8" w14:paraId="5EA1E736" w14:textId="77777777" w:rsidTr="000F2729">
        <w:trPr>
          <w:trHeight w:val="300"/>
        </w:trPr>
        <w:tc>
          <w:tcPr>
            <w:tcW w:w="1560" w:type="dxa"/>
            <w:tcBorders>
              <w:left w:val="nil"/>
              <w:bottom w:val="single" w:sz="6" w:space="0" w:color="000000" w:themeColor="text1"/>
              <w:right w:val="nil"/>
            </w:tcBorders>
            <w:vAlign w:val="center"/>
          </w:tcPr>
          <w:p w14:paraId="402A1924" w14:textId="77777777" w:rsidR="0061716B" w:rsidRPr="00353FE8" w:rsidRDefault="0061716B" w:rsidP="0061716B">
            <w:pPr>
              <w:jc w:val="center"/>
              <w:rPr>
                <w:rFonts w:ascii="Calibri" w:eastAsia="Calibri" w:hAnsi="Calibri" w:cs="Calibri"/>
                <w:color w:val="000000" w:themeColor="text1"/>
                <w:sz w:val="22"/>
                <w:szCs w:val="22"/>
              </w:rPr>
            </w:pPr>
            <w:r w:rsidRPr="00353FE8">
              <w:rPr>
                <w:rFonts w:ascii="Calibri" w:eastAsia="Calibri" w:hAnsi="Calibri" w:cs="Calibri"/>
                <w:b/>
                <w:bCs/>
                <w:color w:val="000000" w:themeColor="text1"/>
                <w:sz w:val="22"/>
                <w:szCs w:val="22"/>
              </w:rPr>
              <w:t xml:space="preserve">York Language </w:t>
            </w:r>
          </w:p>
        </w:tc>
        <w:tc>
          <w:tcPr>
            <w:tcW w:w="3543" w:type="dxa"/>
            <w:vMerge/>
            <w:tcBorders>
              <w:left w:val="nil"/>
              <w:bottom w:val="single" w:sz="6" w:space="0" w:color="000000" w:themeColor="text1"/>
              <w:right w:val="nil"/>
            </w:tcBorders>
            <w:vAlign w:val="center"/>
          </w:tcPr>
          <w:p w14:paraId="2A133FFD" w14:textId="004CD352" w:rsidR="0061716B" w:rsidRPr="00353FE8" w:rsidRDefault="0061716B" w:rsidP="0061716B">
            <w:pPr>
              <w:jc w:val="center"/>
              <w:rPr>
                <w:rFonts w:ascii="Calibri" w:eastAsia="Calibri" w:hAnsi="Calibri" w:cs="Calibri"/>
                <w:color w:val="000000" w:themeColor="text1"/>
                <w:sz w:val="22"/>
                <w:szCs w:val="22"/>
              </w:rPr>
            </w:pPr>
          </w:p>
        </w:tc>
        <w:tc>
          <w:tcPr>
            <w:tcW w:w="2499" w:type="dxa"/>
            <w:tcBorders>
              <w:left w:val="nil"/>
              <w:bottom w:val="single" w:sz="6" w:space="0" w:color="000000" w:themeColor="text1"/>
              <w:right w:val="nil"/>
            </w:tcBorders>
            <w:vAlign w:val="center"/>
          </w:tcPr>
          <w:p w14:paraId="3F8A9272" w14:textId="440585E1" w:rsidR="0061716B" w:rsidRPr="00353FE8" w:rsidRDefault="0061716B" w:rsidP="0061716B">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CLS</w:t>
            </w:r>
            <w:r w:rsidRPr="00353FE8">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(CELF, TROG) </w:t>
            </w:r>
            <w:r w:rsidRPr="00353FE8">
              <w:rPr>
                <w:rFonts w:ascii="Calibri" w:eastAsia="Calibri" w:hAnsi="Calibri" w:cs="Calibri"/>
                <w:color w:val="000000" w:themeColor="text1"/>
                <w:sz w:val="22"/>
                <w:szCs w:val="22"/>
              </w:rPr>
              <w:t>&lt; -1 SD</w:t>
            </w:r>
          </w:p>
          <w:p w14:paraId="4220E878" w14:textId="77777777" w:rsidR="0061716B" w:rsidRPr="00353FE8" w:rsidRDefault="0061716B" w:rsidP="0061716B">
            <w:pPr>
              <w:jc w:val="center"/>
              <w:rPr>
                <w:rFonts w:ascii="Calibri" w:eastAsia="Calibri" w:hAnsi="Calibri" w:cs="Calibri"/>
                <w:color w:val="000000" w:themeColor="text1"/>
                <w:sz w:val="22"/>
                <w:szCs w:val="22"/>
              </w:rPr>
            </w:pPr>
          </w:p>
        </w:tc>
        <w:tc>
          <w:tcPr>
            <w:tcW w:w="3030" w:type="dxa"/>
            <w:vMerge/>
            <w:tcBorders>
              <w:left w:val="nil"/>
              <w:bottom w:val="single" w:sz="6" w:space="0" w:color="000000" w:themeColor="text1"/>
              <w:right w:val="nil"/>
            </w:tcBorders>
            <w:vAlign w:val="center"/>
          </w:tcPr>
          <w:p w14:paraId="03832142" w14:textId="3E728943" w:rsidR="0061716B" w:rsidRPr="00353FE8" w:rsidRDefault="0061716B" w:rsidP="0061716B">
            <w:pPr>
              <w:jc w:val="center"/>
              <w:rPr>
                <w:rFonts w:ascii="Calibri" w:eastAsia="Calibri" w:hAnsi="Calibri" w:cs="Calibri"/>
                <w:color w:val="000000" w:themeColor="text1"/>
                <w:sz w:val="22"/>
                <w:szCs w:val="22"/>
              </w:rPr>
            </w:pPr>
          </w:p>
        </w:tc>
        <w:tc>
          <w:tcPr>
            <w:tcW w:w="3543" w:type="dxa"/>
            <w:tcBorders>
              <w:left w:val="nil"/>
              <w:bottom w:val="single" w:sz="6" w:space="0" w:color="000000" w:themeColor="text1"/>
              <w:right w:val="nil"/>
            </w:tcBorders>
            <w:vAlign w:val="center"/>
          </w:tcPr>
          <w:p w14:paraId="756C811B" w14:textId="36F79A98" w:rsidR="0061716B" w:rsidRPr="00353FE8" w:rsidRDefault="0061716B" w:rsidP="0061716B">
            <w:pPr>
              <w:jc w:val="center"/>
              <w:rPr>
                <w:rFonts w:ascii="Calibri" w:eastAsia="Calibri" w:hAnsi="Calibri" w:cs="Calibri"/>
                <w:color w:val="000000" w:themeColor="text1"/>
                <w:sz w:val="22"/>
                <w:szCs w:val="22"/>
              </w:rPr>
            </w:pPr>
            <w:r>
              <w:rPr>
                <w:sz w:val="22"/>
                <w:szCs w:val="22"/>
              </w:rPr>
              <w:fldChar w:fldCharType="begin" w:fldLock="1"/>
            </w:r>
            <w:r>
              <w:rPr>
                <w:sz w:val="22"/>
                <w:szCs w:val="22"/>
              </w:rPr>
              <w:instrText>ADDIN CSL_CITATION {"citationItems":[{"id":"ITEM-1","itemData":{"author":[{"dropping-particle":"V","family":"Bishop","given":"D","non-dropping-particle":"","parse-names":false,"suffix":""}],"container-title":"Psychological Corporation","id":"ITEM-1","issued":{"date-parts":[["2003"]]},"publisher":"Psychological Corporation","publisher-place":"London, UK","title":"Test for reception of grammar, version 2 (TROG—2)","type":"book"},"uris":["http://www.mendeley.com/documents/?uuid=7a27a331-9649-4ebc-8187-f141eccb8fda"]}],"mendeley":{"formattedCitation":"(Bishop, 2003)","plainTextFormattedCitation":"(Bishop, 2003)","previouslyFormattedCitation":"(Bishop, 2003)"},"properties":{"noteIndex":0},"schema":"https://github.com/citation-style-language/schema/raw/master/csl-citation.json"}</w:instrText>
            </w:r>
            <w:r>
              <w:rPr>
                <w:sz w:val="22"/>
                <w:szCs w:val="22"/>
              </w:rPr>
              <w:fldChar w:fldCharType="separate"/>
            </w:r>
            <w:r w:rsidRPr="008E55E8">
              <w:rPr>
                <w:noProof/>
                <w:sz w:val="22"/>
                <w:szCs w:val="22"/>
              </w:rPr>
              <w:t>(Bishop, 2003)</w:t>
            </w:r>
            <w:r>
              <w:rPr>
                <w:sz w:val="22"/>
                <w:szCs w:val="22"/>
              </w:rPr>
              <w:fldChar w:fldCharType="end"/>
            </w:r>
          </w:p>
        </w:tc>
      </w:tr>
    </w:tbl>
    <w:p w14:paraId="042FECF2" w14:textId="77777777" w:rsidR="00353FE8" w:rsidRDefault="00353FE8" w:rsidP="00353FE8"/>
    <w:p w14:paraId="219850CA" w14:textId="0A3C181A" w:rsidR="00234FF1" w:rsidRPr="0061716B" w:rsidRDefault="00234FF1" w:rsidP="0061716B">
      <w:pPr>
        <w:rPr>
          <w:rFonts w:ascii="Calibri" w:eastAsia="Calibri" w:hAnsi="Calibri" w:cs="Calibri"/>
          <w:bCs/>
          <w:color w:val="000000" w:themeColor="text1"/>
          <w:sz w:val="20"/>
          <w:szCs w:val="20"/>
        </w:rPr>
      </w:pPr>
      <w:r w:rsidRPr="0061716B">
        <w:rPr>
          <w:rFonts w:ascii="Calibri" w:eastAsia="Calibri" w:hAnsi="Calibri" w:cs="Calibri"/>
          <w:bCs/>
          <w:color w:val="000000" w:themeColor="text1"/>
          <w:sz w:val="20"/>
          <w:szCs w:val="20"/>
        </w:rPr>
        <w:t>The inclusion and exclusion criteria refer to this study. For criteria defining the design of the original cohorts see the main manuscript.</w:t>
      </w:r>
    </w:p>
    <w:p w14:paraId="179DAC8D" w14:textId="67197DDC" w:rsidR="00353FE8" w:rsidRPr="00353FE8" w:rsidRDefault="00353FE8" w:rsidP="0061716B">
      <w:pPr>
        <w:rPr>
          <w:rFonts w:ascii="Calibri" w:eastAsia="Calibri" w:hAnsi="Calibri" w:cs="Calibri"/>
          <w:bCs/>
          <w:color w:val="000000" w:themeColor="text1"/>
          <w:sz w:val="20"/>
          <w:szCs w:val="20"/>
        </w:rPr>
      </w:pPr>
      <w:r w:rsidRPr="0061716B">
        <w:rPr>
          <w:rFonts w:ascii="Calibri" w:eastAsia="Calibri" w:hAnsi="Calibri" w:cs="Calibri"/>
          <w:bCs/>
          <w:color w:val="000000" w:themeColor="text1"/>
          <w:sz w:val="20"/>
          <w:szCs w:val="20"/>
        </w:rPr>
        <w:t>Abbreviations</w:t>
      </w:r>
      <w:r w:rsidR="00A43958" w:rsidRPr="0061716B">
        <w:rPr>
          <w:rFonts w:ascii="Calibri" w:eastAsia="Calibri" w:hAnsi="Calibri" w:cs="Calibri"/>
          <w:bCs/>
          <w:color w:val="000000" w:themeColor="text1"/>
          <w:sz w:val="20"/>
          <w:szCs w:val="20"/>
        </w:rPr>
        <w:t>;</w:t>
      </w:r>
      <w:r w:rsidRPr="0061716B">
        <w:rPr>
          <w:rFonts w:ascii="Calibri" w:eastAsia="Calibri" w:hAnsi="Calibri" w:cs="Calibri"/>
          <w:bCs/>
          <w:color w:val="000000" w:themeColor="text1"/>
          <w:sz w:val="20"/>
          <w:szCs w:val="20"/>
        </w:rPr>
        <w:t xml:space="preserve"> </w:t>
      </w:r>
      <w:r w:rsidR="00A43958" w:rsidRPr="0061716B">
        <w:rPr>
          <w:rFonts w:ascii="Calibri" w:eastAsia="Calibri" w:hAnsi="Calibri" w:cs="Calibri"/>
          <w:bCs/>
          <w:color w:val="000000" w:themeColor="text1"/>
          <w:sz w:val="20"/>
          <w:szCs w:val="20"/>
        </w:rPr>
        <w:t>WISC, Wechsler Intelligence</w:t>
      </w:r>
      <w:bookmarkStart w:id="0" w:name="_GoBack"/>
      <w:bookmarkEnd w:id="0"/>
      <w:r w:rsidR="00A43958" w:rsidRPr="0061716B">
        <w:rPr>
          <w:rFonts w:ascii="Calibri" w:eastAsia="Calibri" w:hAnsi="Calibri" w:cs="Calibri"/>
          <w:bCs/>
          <w:color w:val="000000" w:themeColor="text1"/>
          <w:sz w:val="20"/>
          <w:szCs w:val="20"/>
        </w:rPr>
        <w:t xml:space="preserve"> Scale for Children; CCC </w:t>
      </w:r>
      <w:r w:rsidR="00A43958" w:rsidRPr="0061716B">
        <w:rPr>
          <w:color w:val="000000" w:themeColor="text1"/>
          <w:sz w:val="20"/>
          <w:szCs w:val="20"/>
        </w:rPr>
        <w:t>Children Communication Checklist; WOLD, Wechsler Objective Language Dimensions; NWR, non-word repetition</w:t>
      </w:r>
      <w:r w:rsidR="0066701F" w:rsidRPr="0061716B">
        <w:rPr>
          <w:color w:val="000000" w:themeColor="text1"/>
          <w:sz w:val="20"/>
          <w:szCs w:val="20"/>
        </w:rPr>
        <w:t xml:space="preserve">; TOLD, </w:t>
      </w:r>
      <w:r w:rsidR="0066701F" w:rsidRPr="0061716B">
        <w:rPr>
          <w:rFonts w:cstheme="minorHAnsi"/>
          <w:color w:val="000000" w:themeColor="text1"/>
          <w:sz w:val="20"/>
          <w:szCs w:val="20"/>
        </w:rPr>
        <w:t xml:space="preserve">Test of Language Development; CELF, </w:t>
      </w:r>
      <w:r w:rsidR="0066701F" w:rsidRPr="0061716B">
        <w:rPr>
          <w:sz w:val="20"/>
          <w:szCs w:val="20"/>
        </w:rPr>
        <w:t xml:space="preserve">Clinical Evaluation </w:t>
      </w:r>
      <w:r w:rsidR="0066701F" w:rsidRPr="000B4383">
        <w:rPr>
          <w:sz w:val="20"/>
          <w:szCs w:val="20"/>
        </w:rPr>
        <w:t>of</w:t>
      </w:r>
      <w:r w:rsidR="0066701F" w:rsidRPr="000B4383">
        <w:rPr>
          <w:i/>
          <w:sz w:val="20"/>
          <w:szCs w:val="20"/>
        </w:rPr>
        <w:t xml:space="preserve"> </w:t>
      </w:r>
      <w:r w:rsidR="0066701F" w:rsidRPr="000B4383">
        <w:rPr>
          <w:rStyle w:val="Emphasis"/>
          <w:i w:val="0"/>
          <w:sz w:val="20"/>
          <w:szCs w:val="20"/>
        </w:rPr>
        <w:t>Language</w:t>
      </w:r>
      <w:r w:rsidR="0066701F" w:rsidRPr="0061716B">
        <w:rPr>
          <w:sz w:val="20"/>
          <w:szCs w:val="20"/>
        </w:rPr>
        <w:t xml:space="preserve"> Fundamentals</w:t>
      </w:r>
      <w:r w:rsidR="00234FF1" w:rsidRPr="0061716B">
        <w:rPr>
          <w:sz w:val="20"/>
          <w:szCs w:val="20"/>
        </w:rPr>
        <w:t>; CRS, Composite Reading Score; CLS, Composite Language Score</w:t>
      </w:r>
      <w:r w:rsidR="00A14E93" w:rsidRPr="0061716B">
        <w:rPr>
          <w:sz w:val="20"/>
          <w:szCs w:val="20"/>
        </w:rPr>
        <w:t xml:space="preserve">; WRMT, </w:t>
      </w:r>
      <w:r w:rsidR="00A14E93" w:rsidRPr="0061716B">
        <w:rPr>
          <w:rFonts w:cstheme="minorHAnsi"/>
          <w:color w:val="000000" w:themeColor="text1"/>
          <w:sz w:val="20"/>
          <w:szCs w:val="20"/>
        </w:rPr>
        <w:t>Woodcock Reading Mastery Tests; WRAT, Wide Range Achievement Test; WR, World Reading; BAS, British Abilities Scales; SWRT Single Word Reading Test; WIAT, Wechsler Individual Achievement Test Spelling Test;</w:t>
      </w:r>
      <w:r w:rsidR="00A14E93">
        <w:rPr>
          <w:rFonts w:cstheme="minorHAnsi"/>
          <w:color w:val="000000" w:themeColor="text1"/>
        </w:rPr>
        <w:t xml:space="preserve">  </w:t>
      </w:r>
    </w:p>
    <w:p w14:paraId="12507FE7" w14:textId="77777777" w:rsidR="00353FE8" w:rsidRDefault="00353FE8" w:rsidP="00F578D4">
      <w:pPr>
        <w:spacing w:line="360" w:lineRule="auto"/>
        <w:rPr>
          <w:rFonts w:ascii="Calibri" w:eastAsia="Calibri" w:hAnsi="Calibri" w:cs="Calibri"/>
          <w:b/>
          <w:bCs/>
          <w:color w:val="000000" w:themeColor="text1"/>
        </w:rPr>
      </w:pPr>
    </w:p>
    <w:p w14:paraId="13CCAD1B" w14:textId="77777777" w:rsidR="000F2729" w:rsidRDefault="000F2729" w:rsidP="00F578D4">
      <w:pPr>
        <w:spacing w:line="360" w:lineRule="auto"/>
        <w:rPr>
          <w:rFonts w:ascii="Calibri" w:eastAsia="Calibri" w:hAnsi="Calibri" w:cs="Calibri"/>
          <w:b/>
          <w:bCs/>
          <w:color w:val="000000" w:themeColor="text1"/>
        </w:rPr>
      </w:pPr>
    </w:p>
    <w:p w14:paraId="5C9CCCD5" w14:textId="77777777" w:rsidR="000F2729" w:rsidRDefault="000F2729" w:rsidP="00F578D4">
      <w:pPr>
        <w:spacing w:line="360" w:lineRule="auto"/>
        <w:rPr>
          <w:rFonts w:ascii="Calibri" w:eastAsia="Calibri" w:hAnsi="Calibri" w:cs="Calibri"/>
          <w:b/>
          <w:bCs/>
          <w:color w:val="000000" w:themeColor="text1"/>
        </w:rPr>
      </w:pPr>
    </w:p>
    <w:p w14:paraId="35AB69AE" w14:textId="77777777" w:rsidR="000F2729" w:rsidRDefault="000F2729" w:rsidP="00F578D4">
      <w:pPr>
        <w:spacing w:line="360" w:lineRule="auto"/>
        <w:rPr>
          <w:rFonts w:ascii="Calibri" w:eastAsia="Calibri" w:hAnsi="Calibri" w:cs="Calibri"/>
          <w:b/>
          <w:bCs/>
          <w:color w:val="000000" w:themeColor="text1"/>
        </w:rPr>
      </w:pPr>
    </w:p>
    <w:p w14:paraId="61E540B8" w14:textId="77777777" w:rsidR="000F2729" w:rsidRDefault="000F2729" w:rsidP="00F578D4">
      <w:pPr>
        <w:spacing w:line="360" w:lineRule="auto"/>
        <w:rPr>
          <w:rFonts w:ascii="Calibri" w:eastAsia="Calibri" w:hAnsi="Calibri" w:cs="Calibri"/>
          <w:b/>
          <w:bCs/>
          <w:color w:val="000000" w:themeColor="text1"/>
        </w:rPr>
      </w:pPr>
    </w:p>
    <w:p w14:paraId="1448F2D1" w14:textId="77777777" w:rsidR="000F2729" w:rsidRDefault="000F2729" w:rsidP="00F578D4">
      <w:pPr>
        <w:spacing w:line="360" w:lineRule="auto"/>
        <w:rPr>
          <w:rFonts w:ascii="Calibri" w:eastAsia="Calibri" w:hAnsi="Calibri" w:cs="Calibri"/>
          <w:b/>
          <w:bCs/>
          <w:color w:val="000000" w:themeColor="text1"/>
        </w:rPr>
      </w:pPr>
    </w:p>
    <w:p w14:paraId="6DAF250A" w14:textId="77777777" w:rsidR="000F2729" w:rsidRDefault="000F2729" w:rsidP="00F578D4">
      <w:pPr>
        <w:spacing w:line="360" w:lineRule="auto"/>
        <w:rPr>
          <w:rFonts w:ascii="Calibri" w:eastAsia="Calibri" w:hAnsi="Calibri" w:cs="Calibri"/>
          <w:b/>
          <w:bCs/>
          <w:color w:val="000000" w:themeColor="text1"/>
        </w:rPr>
      </w:pPr>
    </w:p>
    <w:p w14:paraId="35B55B92" w14:textId="77777777" w:rsidR="000F2729" w:rsidRDefault="000F2729" w:rsidP="00F578D4">
      <w:pPr>
        <w:spacing w:line="360" w:lineRule="auto"/>
        <w:rPr>
          <w:rFonts w:ascii="Calibri" w:eastAsia="Calibri" w:hAnsi="Calibri" w:cs="Calibri"/>
          <w:b/>
          <w:bCs/>
          <w:color w:val="000000" w:themeColor="text1"/>
        </w:rPr>
      </w:pPr>
    </w:p>
    <w:p w14:paraId="1B0696A6" w14:textId="77777777" w:rsidR="000F2729" w:rsidRDefault="000F2729" w:rsidP="00F578D4">
      <w:pPr>
        <w:spacing w:line="360" w:lineRule="auto"/>
        <w:rPr>
          <w:rFonts w:ascii="Calibri" w:eastAsia="Calibri" w:hAnsi="Calibri" w:cs="Calibri"/>
          <w:b/>
          <w:bCs/>
          <w:color w:val="000000" w:themeColor="text1"/>
        </w:rPr>
      </w:pPr>
    </w:p>
    <w:p w14:paraId="170FA85C" w14:textId="77777777" w:rsidR="000F2729" w:rsidRDefault="000F2729" w:rsidP="00F578D4">
      <w:pPr>
        <w:spacing w:line="360" w:lineRule="auto"/>
        <w:rPr>
          <w:rFonts w:ascii="Calibri" w:eastAsia="Calibri" w:hAnsi="Calibri" w:cs="Calibri"/>
          <w:b/>
          <w:bCs/>
          <w:color w:val="000000" w:themeColor="text1"/>
        </w:rPr>
      </w:pPr>
    </w:p>
    <w:p w14:paraId="3A75F314" w14:textId="77777777" w:rsidR="000F2729" w:rsidRDefault="000F2729" w:rsidP="00F578D4">
      <w:pPr>
        <w:spacing w:line="360" w:lineRule="auto"/>
        <w:rPr>
          <w:rFonts w:ascii="Calibri" w:eastAsia="Calibri" w:hAnsi="Calibri" w:cs="Calibri"/>
          <w:b/>
          <w:bCs/>
          <w:color w:val="000000" w:themeColor="text1"/>
        </w:rPr>
      </w:pPr>
    </w:p>
    <w:p w14:paraId="4AA27672" w14:textId="77777777" w:rsidR="000F2729" w:rsidRDefault="000F2729" w:rsidP="00F578D4">
      <w:pPr>
        <w:spacing w:line="360" w:lineRule="auto"/>
        <w:rPr>
          <w:rFonts w:ascii="Calibri" w:eastAsia="Calibri" w:hAnsi="Calibri" w:cs="Calibri"/>
          <w:b/>
          <w:bCs/>
          <w:color w:val="000000" w:themeColor="text1"/>
        </w:rPr>
      </w:pPr>
    </w:p>
    <w:p w14:paraId="28CA3CB6" w14:textId="77777777" w:rsidR="000F2729" w:rsidRDefault="000F2729" w:rsidP="00F578D4">
      <w:pPr>
        <w:spacing w:line="360" w:lineRule="auto"/>
        <w:rPr>
          <w:rFonts w:ascii="Calibri" w:eastAsia="Calibri" w:hAnsi="Calibri" w:cs="Calibri"/>
          <w:b/>
          <w:bCs/>
          <w:color w:val="000000" w:themeColor="text1"/>
        </w:rPr>
      </w:pPr>
    </w:p>
    <w:p w14:paraId="33BBDDFA" w14:textId="77777777" w:rsidR="000F2729" w:rsidRDefault="000F2729" w:rsidP="00F578D4">
      <w:pPr>
        <w:spacing w:line="360" w:lineRule="auto"/>
        <w:rPr>
          <w:rFonts w:ascii="Calibri" w:eastAsia="Calibri" w:hAnsi="Calibri" w:cs="Calibri"/>
          <w:b/>
          <w:bCs/>
          <w:color w:val="000000" w:themeColor="text1"/>
        </w:rPr>
      </w:pPr>
    </w:p>
    <w:p w14:paraId="05F63B94" w14:textId="77777777" w:rsidR="000F2729" w:rsidRDefault="000F2729" w:rsidP="00F578D4">
      <w:pPr>
        <w:spacing w:line="360" w:lineRule="auto"/>
        <w:rPr>
          <w:rFonts w:ascii="Calibri" w:eastAsia="Calibri" w:hAnsi="Calibri" w:cs="Calibri"/>
          <w:b/>
          <w:bCs/>
          <w:color w:val="000000" w:themeColor="text1"/>
        </w:rPr>
      </w:pPr>
    </w:p>
    <w:p w14:paraId="135727F3" w14:textId="77777777" w:rsidR="000F2729" w:rsidRDefault="000F2729" w:rsidP="00F578D4">
      <w:pPr>
        <w:spacing w:line="360" w:lineRule="auto"/>
        <w:rPr>
          <w:rFonts w:ascii="Calibri" w:eastAsia="Calibri" w:hAnsi="Calibri" w:cs="Calibri"/>
          <w:b/>
          <w:bCs/>
          <w:color w:val="000000" w:themeColor="text1"/>
        </w:rPr>
      </w:pPr>
    </w:p>
    <w:p w14:paraId="22737F3B" w14:textId="77777777" w:rsidR="000F2729" w:rsidRDefault="000F2729" w:rsidP="00F578D4">
      <w:pPr>
        <w:spacing w:line="360" w:lineRule="auto"/>
        <w:rPr>
          <w:rFonts w:ascii="Calibri" w:eastAsia="Calibri" w:hAnsi="Calibri" w:cs="Calibri"/>
          <w:b/>
          <w:bCs/>
          <w:color w:val="000000" w:themeColor="text1"/>
        </w:rPr>
      </w:pPr>
    </w:p>
    <w:p w14:paraId="17FC836C" w14:textId="4F3E41EA" w:rsidR="00F578D4" w:rsidRDefault="00DD6905" w:rsidP="00F578D4">
      <w:pPr>
        <w:spacing w:line="360" w:lineRule="auto"/>
        <w:rPr>
          <w:rFonts w:ascii="Calibri" w:eastAsia="Calibri" w:hAnsi="Calibri" w:cs="Calibri"/>
          <w:b/>
          <w:bCs/>
          <w:color w:val="000000" w:themeColor="text1"/>
        </w:rPr>
      </w:pPr>
      <w:r>
        <w:rPr>
          <w:rFonts w:ascii="Calibri" w:eastAsia="Calibri" w:hAnsi="Calibri" w:cs="Calibri"/>
          <w:b/>
          <w:bCs/>
          <w:color w:val="000000" w:themeColor="text1"/>
        </w:rPr>
        <w:t>Table S2</w:t>
      </w:r>
      <w:r w:rsidR="00F578D4" w:rsidRPr="10477AA3">
        <w:rPr>
          <w:rFonts w:ascii="Calibri" w:eastAsia="Calibri" w:hAnsi="Calibri" w:cs="Calibri"/>
          <w:b/>
          <w:bCs/>
          <w:color w:val="000000" w:themeColor="text1"/>
        </w:rPr>
        <w:t xml:space="preserve">: </w:t>
      </w:r>
      <w:r w:rsidR="00C37833">
        <w:rPr>
          <w:rFonts w:ascii="Calibri" w:eastAsia="Calibri" w:hAnsi="Calibri" w:cs="Calibri"/>
          <w:b/>
          <w:bCs/>
          <w:color w:val="000000" w:themeColor="text1"/>
        </w:rPr>
        <w:t>comparison of IQ and birth weight mean values between NRH and RH cases</w:t>
      </w:r>
    </w:p>
    <w:p w14:paraId="1D511AFC" w14:textId="77777777" w:rsidR="000F2729" w:rsidRPr="00BE58E9" w:rsidRDefault="000F2729" w:rsidP="00F578D4">
      <w:pPr>
        <w:spacing w:line="360" w:lineRule="auto"/>
        <w:rPr>
          <w:rFonts w:ascii="Calibri" w:eastAsia="Calibri" w:hAnsi="Calibri" w:cs="Calibri"/>
          <w:b/>
          <w:bCs/>
          <w:color w:val="000000" w:themeColor="text1"/>
        </w:rPr>
      </w:pPr>
    </w:p>
    <w:tbl>
      <w:tblPr>
        <w:tblW w:w="15141" w:type="dxa"/>
        <w:tblLayout w:type="fixed"/>
        <w:tblLook w:val="06A0" w:firstRow="1" w:lastRow="0" w:firstColumn="1" w:lastColumn="0" w:noHBand="1" w:noVBand="1"/>
      </w:tblPr>
      <w:tblGrid>
        <w:gridCol w:w="2127"/>
        <w:gridCol w:w="1701"/>
        <w:gridCol w:w="1239"/>
        <w:gridCol w:w="1569"/>
        <w:gridCol w:w="1569"/>
        <w:gridCol w:w="1691"/>
        <w:gridCol w:w="1843"/>
        <w:gridCol w:w="1559"/>
        <w:gridCol w:w="1843"/>
      </w:tblGrid>
      <w:tr w:rsidR="00C37833" w14:paraId="19167386" w14:textId="77777777" w:rsidTr="0061716B">
        <w:trPr>
          <w:trHeight w:val="300"/>
        </w:trPr>
        <w:tc>
          <w:tcPr>
            <w:tcW w:w="2127" w:type="dxa"/>
            <w:vMerge w:val="restart"/>
            <w:tcBorders>
              <w:top w:val="single" w:sz="6" w:space="0" w:color="7F7F7F" w:themeColor="text1" w:themeTint="80"/>
              <w:left w:val="nil"/>
              <w:bottom w:val="single" w:sz="4" w:space="0" w:color="auto"/>
              <w:right w:val="nil"/>
            </w:tcBorders>
            <w:vAlign w:val="center"/>
          </w:tcPr>
          <w:p w14:paraId="4D4A7909" w14:textId="35F633FD"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Cohort</w:t>
            </w:r>
          </w:p>
        </w:tc>
        <w:tc>
          <w:tcPr>
            <w:tcW w:w="1701" w:type="dxa"/>
            <w:vMerge w:val="restart"/>
            <w:tcBorders>
              <w:top w:val="single" w:sz="6" w:space="0" w:color="7F7F7F" w:themeColor="text1" w:themeTint="80"/>
              <w:left w:val="nil"/>
              <w:bottom w:val="single" w:sz="4" w:space="0" w:color="auto"/>
              <w:right w:val="nil"/>
            </w:tcBorders>
            <w:vAlign w:val="center"/>
          </w:tcPr>
          <w:p w14:paraId="3D122DF4" w14:textId="413537A5"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Cohort type</w:t>
            </w:r>
          </w:p>
        </w:tc>
        <w:tc>
          <w:tcPr>
            <w:tcW w:w="1239" w:type="dxa"/>
            <w:vMerge w:val="restart"/>
            <w:tcBorders>
              <w:top w:val="single" w:sz="6" w:space="0" w:color="7F7F7F" w:themeColor="text1" w:themeTint="80"/>
              <w:left w:val="nil"/>
              <w:bottom w:val="single" w:sz="4" w:space="0" w:color="auto"/>
              <w:right w:val="nil"/>
            </w:tcBorders>
            <w:vAlign w:val="center"/>
          </w:tcPr>
          <w:p w14:paraId="7D79C1C1" w14:textId="31A47A67"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Phenotype</w:t>
            </w:r>
          </w:p>
        </w:tc>
        <w:tc>
          <w:tcPr>
            <w:tcW w:w="3138" w:type="dxa"/>
            <w:gridSpan w:val="2"/>
            <w:tcBorders>
              <w:top w:val="single" w:sz="6" w:space="0" w:color="7F7F7F" w:themeColor="text1" w:themeTint="80"/>
              <w:left w:val="nil"/>
              <w:bottom w:val="single" w:sz="6" w:space="0" w:color="7F7F7F" w:themeColor="text1" w:themeTint="80"/>
              <w:right w:val="nil"/>
            </w:tcBorders>
          </w:tcPr>
          <w:p w14:paraId="430AFA54" w14:textId="77777777" w:rsidR="00F578D4" w:rsidRDefault="00F578D4" w:rsidP="00AC1D62">
            <w:pPr>
              <w:spacing w:line="259" w:lineRule="auto"/>
              <w:jc w:val="center"/>
              <w:rPr>
                <w:rFonts w:ascii="Calibri" w:eastAsia="Calibri" w:hAnsi="Calibri" w:cs="Calibri"/>
                <w:b/>
                <w:bCs/>
                <w:color w:val="000000" w:themeColor="text1"/>
                <w:sz w:val="22"/>
                <w:szCs w:val="22"/>
              </w:rPr>
            </w:pPr>
            <w:r w:rsidRPr="10477AA3">
              <w:rPr>
                <w:rFonts w:ascii="Calibri" w:eastAsia="Calibri" w:hAnsi="Calibri" w:cs="Calibri"/>
                <w:b/>
                <w:bCs/>
                <w:color w:val="000000" w:themeColor="text1"/>
                <w:sz w:val="22"/>
                <w:szCs w:val="22"/>
              </w:rPr>
              <w:t>Total IQ (SD)</w:t>
            </w:r>
          </w:p>
        </w:tc>
        <w:tc>
          <w:tcPr>
            <w:tcW w:w="3534" w:type="dxa"/>
            <w:gridSpan w:val="2"/>
            <w:tcBorders>
              <w:top w:val="single" w:sz="6" w:space="0" w:color="7F7F7F" w:themeColor="text1" w:themeTint="80"/>
              <w:left w:val="nil"/>
              <w:bottom w:val="single" w:sz="6" w:space="0" w:color="7F7F7F" w:themeColor="text1" w:themeTint="80"/>
              <w:right w:val="nil"/>
            </w:tcBorders>
          </w:tcPr>
          <w:p w14:paraId="1732540A" w14:textId="77777777" w:rsidR="00F578D4" w:rsidRDefault="00F578D4" w:rsidP="00AC1D62">
            <w:pPr>
              <w:spacing w:line="259" w:lineRule="auto"/>
              <w:jc w:val="center"/>
              <w:rPr>
                <w:rFonts w:ascii="Calibri" w:eastAsia="Calibri" w:hAnsi="Calibri" w:cs="Calibri"/>
                <w:b/>
                <w:bCs/>
                <w:color w:val="000000" w:themeColor="text1"/>
                <w:sz w:val="22"/>
                <w:szCs w:val="22"/>
              </w:rPr>
            </w:pPr>
            <w:r w:rsidRPr="10477AA3">
              <w:rPr>
                <w:rFonts w:ascii="Calibri" w:eastAsia="Calibri" w:hAnsi="Calibri" w:cs="Calibri"/>
                <w:b/>
                <w:bCs/>
                <w:color w:val="000000" w:themeColor="text1"/>
                <w:sz w:val="22"/>
                <w:szCs w:val="22"/>
              </w:rPr>
              <w:t>Performance IQ (SD)</w:t>
            </w:r>
          </w:p>
        </w:tc>
        <w:tc>
          <w:tcPr>
            <w:tcW w:w="3402" w:type="dxa"/>
            <w:gridSpan w:val="2"/>
            <w:tcBorders>
              <w:top w:val="single" w:sz="6" w:space="0" w:color="7F7F7F" w:themeColor="text1" w:themeTint="80"/>
              <w:left w:val="nil"/>
              <w:bottom w:val="single" w:sz="6" w:space="0" w:color="7F7F7F" w:themeColor="text1" w:themeTint="80"/>
              <w:right w:val="nil"/>
            </w:tcBorders>
          </w:tcPr>
          <w:p w14:paraId="00CED037" w14:textId="54D60D42" w:rsidR="00F578D4" w:rsidRDefault="00C37833" w:rsidP="00AC1D62">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Birth weight</w:t>
            </w:r>
            <w:r w:rsidR="00F578D4" w:rsidRPr="10477AA3">
              <w:rPr>
                <w:rFonts w:ascii="Calibri" w:eastAsia="Calibri" w:hAnsi="Calibri" w:cs="Calibri"/>
                <w:b/>
                <w:bCs/>
                <w:color w:val="000000" w:themeColor="text1"/>
                <w:sz w:val="22"/>
                <w:szCs w:val="22"/>
              </w:rPr>
              <w:t xml:space="preserve"> (</w:t>
            </w:r>
            <w:r>
              <w:rPr>
                <w:rFonts w:ascii="Calibri" w:eastAsia="Calibri" w:hAnsi="Calibri" w:cs="Calibri"/>
                <w:b/>
                <w:bCs/>
                <w:color w:val="000000" w:themeColor="text1"/>
                <w:sz w:val="22"/>
                <w:szCs w:val="22"/>
              </w:rPr>
              <w:t xml:space="preserve">gr; </w:t>
            </w:r>
            <w:r w:rsidR="00F578D4" w:rsidRPr="10477AA3">
              <w:rPr>
                <w:rFonts w:ascii="Calibri" w:eastAsia="Calibri" w:hAnsi="Calibri" w:cs="Calibri"/>
                <w:b/>
                <w:bCs/>
                <w:color w:val="000000" w:themeColor="text1"/>
                <w:sz w:val="22"/>
                <w:szCs w:val="22"/>
              </w:rPr>
              <w:t>SD)</w:t>
            </w:r>
          </w:p>
        </w:tc>
      </w:tr>
      <w:tr w:rsidR="00F578D4" w14:paraId="6718F163" w14:textId="77777777" w:rsidTr="0061716B">
        <w:trPr>
          <w:trHeight w:val="300"/>
        </w:trPr>
        <w:tc>
          <w:tcPr>
            <w:tcW w:w="2127" w:type="dxa"/>
            <w:vMerge/>
            <w:tcBorders>
              <w:bottom w:val="single" w:sz="4" w:space="0" w:color="auto"/>
            </w:tcBorders>
            <w:vAlign w:val="center"/>
          </w:tcPr>
          <w:p w14:paraId="0D5A8F3C" w14:textId="77777777" w:rsidR="00F578D4" w:rsidRDefault="00F578D4" w:rsidP="00AC1D62"/>
        </w:tc>
        <w:tc>
          <w:tcPr>
            <w:tcW w:w="1701" w:type="dxa"/>
            <w:vMerge/>
            <w:tcBorders>
              <w:bottom w:val="single" w:sz="4" w:space="0" w:color="auto"/>
            </w:tcBorders>
            <w:vAlign w:val="center"/>
          </w:tcPr>
          <w:p w14:paraId="6635AE93" w14:textId="77777777" w:rsidR="00F578D4" w:rsidRDefault="00F578D4" w:rsidP="00AC1D62"/>
        </w:tc>
        <w:tc>
          <w:tcPr>
            <w:tcW w:w="1239" w:type="dxa"/>
            <w:vMerge/>
            <w:tcBorders>
              <w:bottom w:val="single" w:sz="4" w:space="0" w:color="auto"/>
            </w:tcBorders>
            <w:vAlign w:val="center"/>
          </w:tcPr>
          <w:p w14:paraId="34772152" w14:textId="77777777" w:rsidR="00F578D4" w:rsidRDefault="00F578D4" w:rsidP="00AC1D62"/>
        </w:tc>
        <w:tc>
          <w:tcPr>
            <w:tcW w:w="1569" w:type="dxa"/>
            <w:tcBorders>
              <w:top w:val="single" w:sz="6" w:space="0" w:color="7F7F7F" w:themeColor="text1" w:themeTint="80"/>
              <w:left w:val="nil"/>
              <w:bottom w:val="single" w:sz="6" w:space="0" w:color="7F7F7F" w:themeColor="text1" w:themeTint="80"/>
              <w:right w:val="nil"/>
            </w:tcBorders>
          </w:tcPr>
          <w:p w14:paraId="594615C3" w14:textId="77777777" w:rsidR="00F578D4" w:rsidRDefault="00F578D4" w:rsidP="00AC1D62">
            <w:pPr>
              <w:jc w:val="center"/>
              <w:rPr>
                <w:rFonts w:ascii="Calibri" w:eastAsia="Calibri" w:hAnsi="Calibri" w:cs="Calibri"/>
                <w:b/>
                <w:bCs/>
                <w:color w:val="000000" w:themeColor="text1"/>
                <w:sz w:val="22"/>
                <w:szCs w:val="22"/>
              </w:rPr>
            </w:pPr>
            <w:r w:rsidRPr="10477AA3">
              <w:rPr>
                <w:rFonts w:ascii="Calibri" w:eastAsia="Calibri" w:hAnsi="Calibri" w:cs="Calibri"/>
                <w:b/>
                <w:bCs/>
                <w:color w:val="000000" w:themeColor="text1"/>
                <w:sz w:val="22"/>
                <w:szCs w:val="22"/>
              </w:rPr>
              <w:t>NRH</w:t>
            </w:r>
          </w:p>
        </w:tc>
        <w:tc>
          <w:tcPr>
            <w:tcW w:w="1569" w:type="dxa"/>
            <w:tcBorders>
              <w:top w:val="nil"/>
              <w:left w:val="nil"/>
              <w:bottom w:val="single" w:sz="6" w:space="0" w:color="7F7F7F" w:themeColor="text1" w:themeTint="80"/>
              <w:right w:val="nil"/>
            </w:tcBorders>
          </w:tcPr>
          <w:p w14:paraId="70BDC4E9" w14:textId="77777777" w:rsidR="00F578D4" w:rsidRDefault="00F578D4" w:rsidP="00AC1D62">
            <w:pPr>
              <w:jc w:val="center"/>
              <w:rPr>
                <w:rFonts w:ascii="Segoe UI" w:eastAsia="Segoe UI" w:hAnsi="Segoe UI" w:cs="Segoe UI"/>
                <w:color w:val="000000" w:themeColor="text1"/>
                <w:sz w:val="22"/>
                <w:szCs w:val="22"/>
              </w:rPr>
            </w:pPr>
            <w:r w:rsidRPr="10477AA3">
              <w:rPr>
                <w:rFonts w:ascii="Calibri" w:eastAsia="Calibri" w:hAnsi="Calibri" w:cs="Calibri"/>
                <w:b/>
                <w:bCs/>
                <w:color w:val="000000" w:themeColor="text1"/>
                <w:sz w:val="22"/>
                <w:szCs w:val="22"/>
              </w:rPr>
              <w:t>RH</w:t>
            </w:r>
          </w:p>
        </w:tc>
        <w:tc>
          <w:tcPr>
            <w:tcW w:w="1691" w:type="dxa"/>
            <w:tcBorders>
              <w:top w:val="single" w:sz="6" w:space="0" w:color="7F7F7F" w:themeColor="text1" w:themeTint="80"/>
              <w:left w:val="nil"/>
              <w:bottom w:val="single" w:sz="6" w:space="0" w:color="7F7F7F" w:themeColor="text1" w:themeTint="80"/>
              <w:right w:val="nil"/>
            </w:tcBorders>
          </w:tcPr>
          <w:p w14:paraId="3B380E23" w14:textId="77777777" w:rsidR="00F578D4" w:rsidRDefault="00F578D4" w:rsidP="00AC1D62">
            <w:pPr>
              <w:jc w:val="center"/>
              <w:rPr>
                <w:rFonts w:ascii="Segoe UI" w:eastAsia="Segoe UI" w:hAnsi="Segoe UI" w:cs="Segoe UI"/>
                <w:color w:val="000000" w:themeColor="text1"/>
                <w:sz w:val="22"/>
                <w:szCs w:val="22"/>
              </w:rPr>
            </w:pPr>
            <w:r w:rsidRPr="10477AA3">
              <w:rPr>
                <w:rFonts w:ascii="Calibri" w:eastAsia="Calibri" w:hAnsi="Calibri" w:cs="Calibri"/>
                <w:b/>
                <w:bCs/>
                <w:color w:val="000000" w:themeColor="text1"/>
                <w:sz w:val="22"/>
                <w:szCs w:val="22"/>
              </w:rPr>
              <w:t>NRH</w:t>
            </w:r>
          </w:p>
        </w:tc>
        <w:tc>
          <w:tcPr>
            <w:tcW w:w="1843" w:type="dxa"/>
            <w:tcBorders>
              <w:top w:val="nil"/>
              <w:left w:val="nil"/>
              <w:bottom w:val="single" w:sz="6" w:space="0" w:color="7F7F7F" w:themeColor="text1" w:themeTint="80"/>
              <w:right w:val="nil"/>
            </w:tcBorders>
          </w:tcPr>
          <w:p w14:paraId="70833957" w14:textId="77777777" w:rsidR="00F578D4" w:rsidRDefault="00F578D4" w:rsidP="00AC1D62">
            <w:pPr>
              <w:jc w:val="center"/>
              <w:rPr>
                <w:rFonts w:ascii="Calibri" w:eastAsia="Calibri" w:hAnsi="Calibri" w:cs="Calibri"/>
                <w:b/>
                <w:bCs/>
                <w:color w:val="000000" w:themeColor="text1"/>
                <w:sz w:val="22"/>
                <w:szCs w:val="22"/>
              </w:rPr>
            </w:pPr>
            <w:r w:rsidRPr="10477AA3">
              <w:rPr>
                <w:rFonts w:ascii="Calibri" w:eastAsia="Calibri" w:hAnsi="Calibri" w:cs="Calibri"/>
                <w:b/>
                <w:bCs/>
                <w:color w:val="000000" w:themeColor="text1"/>
                <w:sz w:val="22"/>
                <w:szCs w:val="22"/>
              </w:rPr>
              <w:t>RH</w:t>
            </w:r>
          </w:p>
        </w:tc>
        <w:tc>
          <w:tcPr>
            <w:tcW w:w="1559" w:type="dxa"/>
            <w:tcBorders>
              <w:top w:val="single" w:sz="6" w:space="0" w:color="7F7F7F" w:themeColor="text1" w:themeTint="80"/>
              <w:left w:val="nil"/>
              <w:bottom w:val="single" w:sz="6" w:space="0" w:color="7F7F7F" w:themeColor="text1" w:themeTint="80"/>
              <w:right w:val="nil"/>
            </w:tcBorders>
          </w:tcPr>
          <w:p w14:paraId="753BBCA2" w14:textId="77777777" w:rsidR="00F578D4" w:rsidRPr="00F578D4" w:rsidRDefault="00F578D4" w:rsidP="00AC1D62">
            <w:pPr>
              <w:spacing w:line="259" w:lineRule="auto"/>
              <w:jc w:val="center"/>
              <w:rPr>
                <w:rFonts w:ascii="Calibri" w:eastAsia="Calibri" w:hAnsi="Calibri" w:cs="Calibri"/>
                <w:b/>
                <w:bCs/>
                <w:color w:val="000000" w:themeColor="text1"/>
                <w:sz w:val="22"/>
                <w:szCs w:val="22"/>
              </w:rPr>
            </w:pPr>
            <w:r w:rsidRPr="00F578D4">
              <w:rPr>
                <w:rFonts w:ascii="Calibri" w:eastAsia="Calibri" w:hAnsi="Calibri" w:cs="Calibri"/>
                <w:b/>
                <w:bCs/>
                <w:color w:val="000000" w:themeColor="text1"/>
                <w:sz w:val="22"/>
                <w:szCs w:val="22"/>
              </w:rPr>
              <w:t>NRH</w:t>
            </w:r>
          </w:p>
        </w:tc>
        <w:tc>
          <w:tcPr>
            <w:tcW w:w="1843" w:type="dxa"/>
            <w:tcBorders>
              <w:top w:val="nil"/>
              <w:left w:val="nil"/>
              <w:bottom w:val="single" w:sz="6" w:space="0" w:color="7F7F7F" w:themeColor="text1" w:themeTint="80"/>
              <w:right w:val="nil"/>
            </w:tcBorders>
          </w:tcPr>
          <w:p w14:paraId="0FC080C6" w14:textId="77777777" w:rsidR="00F578D4" w:rsidRPr="00F578D4" w:rsidRDefault="00F578D4" w:rsidP="00AC1D62">
            <w:pPr>
              <w:spacing w:line="259" w:lineRule="auto"/>
              <w:jc w:val="center"/>
              <w:rPr>
                <w:rFonts w:ascii="Calibri" w:eastAsia="Calibri" w:hAnsi="Calibri" w:cs="Calibri"/>
                <w:b/>
                <w:bCs/>
                <w:sz w:val="22"/>
                <w:szCs w:val="22"/>
              </w:rPr>
            </w:pPr>
            <w:r w:rsidRPr="00F578D4">
              <w:rPr>
                <w:rFonts w:ascii="Calibri" w:eastAsia="Calibri" w:hAnsi="Calibri" w:cs="Calibri"/>
                <w:b/>
                <w:bCs/>
                <w:color w:val="000000" w:themeColor="text1"/>
                <w:sz w:val="22"/>
                <w:szCs w:val="22"/>
              </w:rPr>
              <w:t>RH</w:t>
            </w:r>
          </w:p>
        </w:tc>
      </w:tr>
      <w:tr w:rsidR="00C37833" w14:paraId="7FCA15F7" w14:textId="77777777" w:rsidTr="0061716B">
        <w:trPr>
          <w:trHeight w:val="300"/>
        </w:trPr>
        <w:tc>
          <w:tcPr>
            <w:tcW w:w="2127" w:type="dxa"/>
            <w:tcBorders>
              <w:top w:val="single" w:sz="4" w:space="0" w:color="auto"/>
              <w:left w:val="nil"/>
              <w:bottom w:val="nil"/>
              <w:right w:val="nil"/>
            </w:tcBorders>
          </w:tcPr>
          <w:p w14:paraId="42F14B6A" w14:textId="55300FAA"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 xml:space="preserve">ALSPAC Language </w:t>
            </w:r>
          </w:p>
        </w:tc>
        <w:tc>
          <w:tcPr>
            <w:tcW w:w="1701" w:type="dxa"/>
            <w:tcBorders>
              <w:top w:val="single" w:sz="4" w:space="0" w:color="auto"/>
              <w:left w:val="nil"/>
              <w:bottom w:val="nil"/>
              <w:right w:val="nil"/>
            </w:tcBorders>
          </w:tcPr>
          <w:p w14:paraId="3DE7034A"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4" w:space="0" w:color="auto"/>
              <w:left w:val="nil"/>
              <w:bottom w:val="nil"/>
              <w:right w:val="nil"/>
            </w:tcBorders>
          </w:tcPr>
          <w:p w14:paraId="6276094B"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Language</w:t>
            </w:r>
          </w:p>
        </w:tc>
        <w:tc>
          <w:tcPr>
            <w:tcW w:w="1569" w:type="dxa"/>
            <w:tcBorders>
              <w:top w:val="single" w:sz="6" w:space="0" w:color="7F7F7F" w:themeColor="text1" w:themeTint="80"/>
              <w:left w:val="nil"/>
              <w:bottom w:val="nil"/>
              <w:right w:val="nil"/>
            </w:tcBorders>
          </w:tcPr>
          <w:p w14:paraId="654F7329" w14:textId="4A4E3211"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106</w:t>
            </w:r>
            <w:r w:rsidR="00C37833">
              <w:t xml:space="preserve"> </w:t>
            </w:r>
            <w:r w:rsidRPr="10477AA3">
              <w:rPr>
                <w:rFonts w:ascii="Calibri" w:eastAsia="Calibri" w:hAnsi="Calibri" w:cs="Calibri"/>
                <w:color w:val="000000" w:themeColor="text1"/>
                <w:sz w:val="22"/>
                <w:szCs w:val="22"/>
              </w:rPr>
              <w:t>(13.8)</w:t>
            </w:r>
          </w:p>
        </w:tc>
        <w:tc>
          <w:tcPr>
            <w:tcW w:w="1569" w:type="dxa"/>
            <w:tcBorders>
              <w:top w:val="single" w:sz="6" w:space="0" w:color="7F7F7F" w:themeColor="text1" w:themeTint="80"/>
              <w:left w:val="nil"/>
              <w:bottom w:val="nil"/>
              <w:right w:val="nil"/>
            </w:tcBorders>
          </w:tcPr>
          <w:p w14:paraId="3401E1D5" w14:textId="690EBEC6"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101</w:t>
            </w:r>
            <w:r w:rsidR="00C37833">
              <w:t xml:space="preserve"> </w:t>
            </w:r>
            <w:r w:rsidRPr="10477AA3">
              <w:rPr>
                <w:rFonts w:ascii="Calibri" w:eastAsia="Calibri" w:hAnsi="Calibri" w:cs="Calibri"/>
                <w:color w:val="000000" w:themeColor="text1"/>
                <w:sz w:val="22"/>
                <w:szCs w:val="22"/>
              </w:rPr>
              <w:t>(12.8)</w:t>
            </w:r>
          </w:p>
        </w:tc>
        <w:tc>
          <w:tcPr>
            <w:tcW w:w="1691" w:type="dxa"/>
            <w:tcBorders>
              <w:top w:val="single" w:sz="6" w:space="0" w:color="7F7F7F" w:themeColor="text1" w:themeTint="80"/>
              <w:left w:val="nil"/>
              <w:bottom w:val="nil"/>
              <w:right w:val="nil"/>
            </w:tcBorders>
          </w:tcPr>
          <w:p w14:paraId="47417E79" w14:textId="35269B9B" w:rsidR="00F578D4" w:rsidRDefault="00F578D4" w:rsidP="00AC1D62">
            <w:pPr>
              <w:spacing w:line="259" w:lineRule="auto"/>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107</w:t>
            </w:r>
            <w:r w:rsidR="00C37833">
              <w:t xml:space="preserve"> </w:t>
            </w:r>
            <w:r w:rsidRPr="10477AA3">
              <w:rPr>
                <w:rFonts w:ascii="Calibri" w:eastAsia="Calibri" w:hAnsi="Calibri" w:cs="Calibri"/>
                <w:color w:val="000000" w:themeColor="text1"/>
                <w:sz w:val="22"/>
                <w:szCs w:val="22"/>
              </w:rPr>
              <w:t>(12.9)</w:t>
            </w:r>
          </w:p>
        </w:tc>
        <w:tc>
          <w:tcPr>
            <w:tcW w:w="1843" w:type="dxa"/>
            <w:tcBorders>
              <w:top w:val="single" w:sz="6" w:space="0" w:color="7F7F7F" w:themeColor="text1" w:themeTint="80"/>
              <w:left w:val="nil"/>
              <w:bottom w:val="nil"/>
              <w:right w:val="nil"/>
            </w:tcBorders>
          </w:tcPr>
          <w:p w14:paraId="369DB67C" w14:textId="383231D1" w:rsidR="00F578D4" w:rsidRDefault="00F578D4" w:rsidP="00AC1D62">
            <w:pPr>
              <w:spacing w:line="259" w:lineRule="auto"/>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102(12.8)</w:t>
            </w:r>
          </w:p>
        </w:tc>
        <w:tc>
          <w:tcPr>
            <w:tcW w:w="1559" w:type="dxa"/>
            <w:tcBorders>
              <w:top w:val="single" w:sz="6" w:space="0" w:color="7F7F7F" w:themeColor="text1" w:themeTint="80"/>
              <w:left w:val="nil"/>
              <w:bottom w:val="nil"/>
              <w:right w:val="nil"/>
            </w:tcBorders>
          </w:tcPr>
          <w:p w14:paraId="5B6E744F"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3479 (477)</w:t>
            </w:r>
          </w:p>
        </w:tc>
        <w:tc>
          <w:tcPr>
            <w:tcW w:w="1843" w:type="dxa"/>
            <w:tcBorders>
              <w:top w:val="single" w:sz="6" w:space="0" w:color="7F7F7F" w:themeColor="text1" w:themeTint="80"/>
              <w:left w:val="nil"/>
              <w:bottom w:val="nil"/>
              <w:right w:val="nil"/>
            </w:tcBorders>
          </w:tcPr>
          <w:p w14:paraId="3770DC8E"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3426 (521)</w:t>
            </w:r>
          </w:p>
        </w:tc>
      </w:tr>
      <w:tr w:rsidR="00C37833" w14:paraId="4663BA2D" w14:textId="77777777" w:rsidTr="5F2FAE35">
        <w:trPr>
          <w:trHeight w:val="300"/>
        </w:trPr>
        <w:tc>
          <w:tcPr>
            <w:tcW w:w="2127" w:type="dxa"/>
            <w:tcBorders>
              <w:top w:val="single" w:sz="6" w:space="0" w:color="7F7F7F" w:themeColor="text1" w:themeTint="80"/>
              <w:left w:val="nil"/>
              <w:bottom w:val="single" w:sz="6" w:space="0" w:color="7F7F7F" w:themeColor="text1" w:themeTint="80"/>
              <w:right w:val="nil"/>
            </w:tcBorders>
          </w:tcPr>
          <w:p w14:paraId="06B99188" w14:textId="2A0071C0"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 xml:space="preserve">ALSPAC Reading </w:t>
            </w:r>
          </w:p>
        </w:tc>
        <w:tc>
          <w:tcPr>
            <w:tcW w:w="1701" w:type="dxa"/>
            <w:tcBorders>
              <w:top w:val="single" w:sz="6" w:space="0" w:color="7F7F7F" w:themeColor="text1" w:themeTint="80"/>
              <w:left w:val="nil"/>
              <w:bottom w:val="single" w:sz="6" w:space="0" w:color="7F7F7F" w:themeColor="text1" w:themeTint="80"/>
              <w:right w:val="nil"/>
            </w:tcBorders>
          </w:tcPr>
          <w:p w14:paraId="1810B7FF"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6" w:space="0" w:color="7F7F7F" w:themeColor="text1" w:themeTint="80"/>
              <w:left w:val="nil"/>
              <w:bottom w:val="single" w:sz="6" w:space="0" w:color="7F7F7F" w:themeColor="text1" w:themeTint="80"/>
              <w:right w:val="nil"/>
            </w:tcBorders>
          </w:tcPr>
          <w:p w14:paraId="546F5DD8" w14:textId="77777777" w:rsidR="00F578D4" w:rsidRDefault="00F578D4" w:rsidP="00AC1D62">
            <w:pPr>
              <w:spacing w:line="259" w:lineRule="auto"/>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Reading</w:t>
            </w:r>
          </w:p>
        </w:tc>
        <w:tc>
          <w:tcPr>
            <w:tcW w:w="1569" w:type="dxa"/>
            <w:tcBorders>
              <w:top w:val="single" w:sz="6" w:space="0" w:color="7F7F7F" w:themeColor="text1" w:themeTint="80"/>
              <w:left w:val="nil"/>
              <w:bottom w:val="single" w:sz="6" w:space="0" w:color="7F7F7F" w:themeColor="text1" w:themeTint="80"/>
              <w:right w:val="nil"/>
            </w:tcBorders>
          </w:tcPr>
          <w:p w14:paraId="4F7007C0" w14:textId="525481BC"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97.9</w:t>
            </w:r>
            <w:r w:rsidR="00C37833">
              <w:t xml:space="preserve"> </w:t>
            </w:r>
            <w:r w:rsidRPr="10477AA3">
              <w:rPr>
                <w:rFonts w:ascii="Calibri" w:eastAsia="Calibri" w:hAnsi="Calibri" w:cs="Calibri"/>
                <w:color w:val="000000" w:themeColor="text1"/>
                <w:sz w:val="22"/>
                <w:szCs w:val="22"/>
              </w:rPr>
              <w:t>(11.0)</w:t>
            </w:r>
          </w:p>
        </w:tc>
        <w:tc>
          <w:tcPr>
            <w:tcW w:w="1569" w:type="dxa"/>
            <w:tcBorders>
              <w:top w:val="single" w:sz="6" w:space="0" w:color="7F7F7F" w:themeColor="text1" w:themeTint="80"/>
              <w:left w:val="nil"/>
              <w:bottom w:val="single" w:sz="6" w:space="0" w:color="7F7F7F" w:themeColor="text1" w:themeTint="80"/>
              <w:right w:val="nil"/>
            </w:tcBorders>
          </w:tcPr>
          <w:p w14:paraId="17E63A40" w14:textId="6BEBD5C2"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99</w:t>
            </w:r>
            <w:r w:rsidR="00C37833">
              <w:t xml:space="preserve"> </w:t>
            </w:r>
            <w:r w:rsidRPr="10477AA3">
              <w:rPr>
                <w:rFonts w:ascii="Calibri" w:eastAsia="Calibri" w:hAnsi="Calibri" w:cs="Calibri"/>
                <w:color w:val="000000" w:themeColor="text1"/>
                <w:sz w:val="22"/>
                <w:szCs w:val="22"/>
              </w:rPr>
              <w:t>(10.6)</w:t>
            </w:r>
          </w:p>
        </w:tc>
        <w:tc>
          <w:tcPr>
            <w:tcW w:w="1691" w:type="dxa"/>
            <w:tcBorders>
              <w:top w:val="single" w:sz="6" w:space="0" w:color="7F7F7F" w:themeColor="text1" w:themeTint="80"/>
              <w:left w:val="nil"/>
              <w:bottom w:val="single" w:sz="6" w:space="0" w:color="7F7F7F" w:themeColor="text1" w:themeTint="80"/>
              <w:right w:val="nil"/>
            </w:tcBorders>
          </w:tcPr>
          <w:p w14:paraId="7655797F" w14:textId="74F0598E" w:rsidR="00F578D4" w:rsidRDefault="00F578D4" w:rsidP="00AC1D62">
            <w:pPr>
              <w:spacing w:line="259" w:lineRule="auto"/>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99.5</w:t>
            </w:r>
            <w:r w:rsidR="00C37833">
              <w:t xml:space="preserve"> </w:t>
            </w:r>
            <w:r w:rsidRPr="10477AA3">
              <w:rPr>
                <w:rFonts w:ascii="Calibri" w:eastAsia="Calibri" w:hAnsi="Calibri" w:cs="Calibri"/>
                <w:color w:val="000000" w:themeColor="text1"/>
                <w:sz w:val="22"/>
                <w:szCs w:val="22"/>
              </w:rPr>
              <w:t>(11.4)</w:t>
            </w:r>
          </w:p>
        </w:tc>
        <w:tc>
          <w:tcPr>
            <w:tcW w:w="1843" w:type="dxa"/>
            <w:tcBorders>
              <w:top w:val="single" w:sz="6" w:space="0" w:color="7F7F7F" w:themeColor="text1" w:themeTint="80"/>
              <w:left w:val="nil"/>
              <w:bottom w:val="single" w:sz="6" w:space="0" w:color="7F7F7F" w:themeColor="text1" w:themeTint="80"/>
              <w:right w:val="nil"/>
            </w:tcBorders>
          </w:tcPr>
          <w:p w14:paraId="4822EB95" w14:textId="23FE6B5B" w:rsidR="00F578D4" w:rsidRDefault="00F578D4" w:rsidP="00AC1D62">
            <w:pPr>
              <w:spacing w:line="259" w:lineRule="auto"/>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101</w:t>
            </w:r>
            <w:r w:rsidR="00C37833">
              <w:t xml:space="preserve"> </w:t>
            </w:r>
            <w:r w:rsidRPr="10477AA3">
              <w:rPr>
                <w:rFonts w:ascii="Calibri" w:eastAsia="Calibri" w:hAnsi="Calibri" w:cs="Calibri"/>
                <w:color w:val="000000" w:themeColor="text1"/>
                <w:sz w:val="22"/>
                <w:szCs w:val="22"/>
              </w:rPr>
              <w:t>(11.5)</w:t>
            </w:r>
          </w:p>
        </w:tc>
        <w:tc>
          <w:tcPr>
            <w:tcW w:w="1559" w:type="dxa"/>
            <w:tcBorders>
              <w:top w:val="single" w:sz="6" w:space="0" w:color="7F7F7F" w:themeColor="text1" w:themeTint="80"/>
              <w:left w:val="nil"/>
              <w:bottom w:val="single" w:sz="6" w:space="0" w:color="7F7F7F" w:themeColor="text1" w:themeTint="80"/>
              <w:right w:val="nil"/>
            </w:tcBorders>
          </w:tcPr>
          <w:p w14:paraId="7EB48313" w14:textId="162454CA"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3434</w:t>
            </w:r>
            <w:r w:rsidR="00C37833">
              <w:t xml:space="preserve"> </w:t>
            </w:r>
            <w:r w:rsidRPr="10477AA3">
              <w:rPr>
                <w:rFonts w:ascii="Calibri" w:eastAsia="Calibri" w:hAnsi="Calibri" w:cs="Calibri"/>
                <w:color w:val="000000" w:themeColor="text1"/>
                <w:sz w:val="22"/>
                <w:szCs w:val="22"/>
              </w:rPr>
              <w:t>(613)</w:t>
            </w:r>
          </w:p>
        </w:tc>
        <w:tc>
          <w:tcPr>
            <w:tcW w:w="1843" w:type="dxa"/>
            <w:tcBorders>
              <w:top w:val="single" w:sz="6" w:space="0" w:color="7F7F7F" w:themeColor="text1" w:themeTint="80"/>
              <w:left w:val="nil"/>
              <w:bottom w:val="single" w:sz="6" w:space="0" w:color="7F7F7F" w:themeColor="text1" w:themeTint="80"/>
              <w:right w:val="nil"/>
            </w:tcBorders>
          </w:tcPr>
          <w:p w14:paraId="6E1568D6" w14:textId="5BC7E70A"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3425</w:t>
            </w:r>
            <w:r w:rsidR="00C37833">
              <w:t xml:space="preserve"> </w:t>
            </w:r>
            <w:r w:rsidRPr="10477AA3">
              <w:rPr>
                <w:rFonts w:ascii="Calibri" w:eastAsia="Calibri" w:hAnsi="Calibri" w:cs="Calibri"/>
                <w:color w:val="000000" w:themeColor="text1"/>
                <w:sz w:val="22"/>
                <w:szCs w:val="22"/>
              </w:rPr>
              <w:t>(521)</w:t>
            </w:r>
          </w:p>
        </w:tc>
      </w:tr>
      <w:tr w:rsidR="00C37833" w14:paraId="08BA5D18" w14:textId="77777777" w:rsidTr="5F2FAE35">
        <w:trPr>
          <w:trHeight w:val="300"/>
        </w:trPr>
        <w:tc>
          <w:tcPr>
            <w:tcW w:w="2127" w:type="dxa"/>
            <w:tcBorders>
              <w:top w:val="single" w:sz="6" w:space="0" w:color="7F7F7F" w:themeColor="text1" w:themeTint="80"/>
              <w:left w:val="nil"/>
              <w:bottom w:val="nil"/>
              <w:right w:val="nil"/>
            </w:tcBorders>
          </w:tcPr>
          <w:p w14:paraId="7AEA217E" w14:textId="4A367FB9"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 xml:space="preserve">IOWA </w:t>
            </w:r>
          </w:p>
        </w:tc>
        <w:tc>
          <w:tcPr>
            <w:tcW w:w="1701" w:type="dxa"/>
            <w:tcBorders>
              <w:top w:val="single" w:sz="6" w:space="0" w:color="7F7F7F" w:themeColor="text1" w:themeTint="80"/>
              <w:left w:val="nil"/>
              <w:bottom w:val="nil"/>
              <w:right w:val="nil"/>
            </w:tcBorders>
          </w:tcPr>
          <w:p w14:paraId="0313D41D"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6" w:space="0" w:color="7F7F7F" w:themeColor="text1" w:themeTint="80"/>
              <w:left w:val="nil"/>
              <w:bottom w:val="nil"/>
              <w:right w:val="nil"/>
            </w:tcBorders>
          </w:tcPr>
          <w:p w14:paraId="2ABD2165"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Language </w:t>
            </w:r>
          </w:p>
        </w:tc>
        <w:tc>
          <w:tcPr>
            <w:tcW w:w="1569" w:type="dxa"/>
            <w:tcBorders>
              <w:top w:val="single" w:sz="6" w:space="0" w:color="7F7F7F" w:themeColor="text1" w:themeTint="80"/>
              <w:left w:val="nil"/>
              <w:bottom w:val="nil"/>
              <w:right w:val="nil"/>
            </w:tcBorders>
          </w:tcPr>
          <w:p w14:paraId="34B6F6C3" w14:textId="1CC0E7DD" w:rsidR="00F578D4" w:rsidRDefault="009C14FD"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w:t>
            </w:r>
          </w:p>
        </w:tc>
        <w:tc>
          <w:tcPr>
            <w:tcW w:w="1569" w:type="dxa"/>
            <w:tcBorders>
              <w:top w:val="single" w:sz="6" w:space="0" w:color="7F7F7F" w:themeColor="text1" w:themeTint="80"/>
              <w:left w:val="nil"/>
              <w:bottom w:val="nil"/>
              <w:right w:val="nil"/>
            </w:tcBorders>
          </w:tcPr>
          <w:p w14:paraId="6A2563DD" w14:textId="3E3F76FA" w:rsidR="00F578D4" w:rsidRDefault="009C14FD"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w:t>
            </w:r>
          </w:p>
        </w:tc>
        <w:tc>
          <w:tcPr>
            <w:tcW w:w="1691" w:type="dxa"/>
            <w:tcBorders>
              <w:top w:val="single" w:sz="6" w:space="0" w:color="7F7F7F" w:themeColor="text1" w:themeTint="80"/>
              <w:left w:val="nil"/>
              <w:bottom w:val="nil"/>
              <w:right w:val="nil"/>
            </w:tcBorders>
          </w:tcPr>
          <w:p w14:paraId="37750B00" w14:textId="7130BDC2" w:rsidR="00F578D4" w:rsidRDefault="009C14FD"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99.6 (8.2)</w:t>
            </w:r>
          </w:p>
        </w:tc>
        <w:tc>
          <w:tcPr>
            <w:tcW w:w="1843" w:type="dxa"/>
            <w:tcBorders>
              <w:top w:val="single" w:sz="6" w:space="0" w:color="7F7F7F" w:themeColor="text1" w:themeTint="80"/>
              <w:left w:val="nil"/>
              <w:bottom w:val="nil"/>
              <w:right w:val="nil"/>
            </w:tcBorders>
          </w:tcPr>
          <w:p w14:paraId="2033C031" w14:textId="1AED93BD" w:rsidR="00F578D4" w:rsidRDefault="009C14FD"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97.9 (8.6)</w:t>
            </w:r>
          </w:p>
        </w:tc>
        <w:tc>
          <w:tcPr>
            <w:tcW w:w="1559" w:type="dxa"/>
            <w:tcBorders>
              <w:top w:val="single" w:sz="6" w:space="0" w:color="7F7F7F" w:themeColor="text1" w:themeTint="80"/>
              <w:left w:val="nil"/>
              <w:bottom w:val="nil"/>
              <w:right w:val="nil"/>
            </w:tcBorders>
          </w:tcPr>
          <w:p w14:paraId="7C60CC52" w14:textId="56FD716D" w:rsidR="00F578D4" w:rsidRDefault="009C14FD"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w:t>
            </w:r>
          </w:p>
        </w:tc>
        <w:tc>
          <w:tcPr>
            <w:tcW w:w="1843" w:type="dxa"/>
            <w:tcBorders>
              <w:top w:val="single" w:sz="6" w:space="0" w:color="7F7F7F" w:themeColor="text1" w:themeTint="80"/>
              <w:left w:val="nil"/>
              <w:bottom w:val="nil"/>
              <w:right w:val="nil"/>
            </w:tcBorders>
          </w:tcPr>
          <w:p w14:paraId="288B72A8" w14:textId="2C676583" w:rsidR="00F578D4" w:rsidRDefault="009C14FD" w:rsidP="00AC1D62">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p>
        </w:tc>
      </w:tr>
      <w:tr w:rsidR="00C37833" w14:paraId="2AA230E7" w14:textId="77777777" w:rsidTr="5F2FAE35">
        <w:trPr>
          <w:trHeight w:val="300"/>
        </w:trPr>
        <w:tc>
          <w:tcPr>
            <w:tcW w:w="2127" w:type="dxa"/>
            <w:tcBorders>
              <w:top w:val="single" w:sz="6" w:space="0" w:color="7F7F7F" w:themeColor="text1" w:themeTint="80"/>
              <w:left w:val="nil"/>
              <w:bottom w:val="single" w:sz="6" w:space="0" w:color="7F7F7F" w:themeColor="text1" w:themeTint="80"/>
              <w:right w:val="nil"/>
            </w:tcBorders>
          </w:tcPr>
          <w:p w14:paraId="70920ED3" w14:textId="2019AA41" w:rsidR="00F578D4" w:rsidRDefault="008A439E" w:rsidP="00C37833">
            <w:pPr>
              <w:jc w:val="center"/>
              <w:rPr>
                <w:rFonts w:ascii="Calibri" w:eastAsia="Calibri" w:hAnsi="Calibri" w:cs="Calibri"/>
                <w:color w:val="000000" w:themeColor="text1"/>
                <w:sz w:val="17"/>
                <w:szCs w:val="17"/>
              </w:rPr>
            </w:pPr>
            <w:r>
              <w:rPr>
                <w:rFonts w:ascii="Calibri" w:eastAsia="Calibri" w:hAnsi="Calibri" w:cs="Calibri"/>
                <w:b/>
                <w:bCs/>
                <w:color w:val="000000" w:themeColor="text1"/>
                <w:sz w:val="22"/>
                <w:szCs w:val="22"/>
              </w:rPr>
              <w:t>NTR</w:t>
            </w:r>
            <w:r w:rsidR="00F578D4" w:rsidRPr="1C3C5658">
              <w:rPr>
                <w:rFonts w:ascii="Calibri" w:eastAsia="Calibri" w:hAnsi="Calibri" w:cs="Calibri"/>
                <w:b/>
                <w:bCs/>
                <w:color w:val="000000" w:themeColor="text1"/>
                <w:sz w:val="17"/>
                <w:szCs w:val="17"/>
              </w:rPr>
              <w:t xml:space="preserve"> </w:t>
            </w:r>
          </w:p>
        </w:tc>
        <w:tc>
          <w:tcPr>
            <w:tcW w:w="1701" w:type="dxa"/>
            <w:tcBorders>
              <w:top w:val="single" w:sz="6" w:space="0" w:color="7F7F7F" w:themeColor="text1" w:themeTint="80"/>
              <w:left w:val="nil"/>
              <w:bottom w:val="single" w:sz="6" w:space="0" w:color="7F7F7F" w:themeColor="text1" w:themeTint="80"/>
              <w:right w:val="nil"/>
            </w:tcBorders>
          </w:tcPr>
          <w:p w14:paraId="2E4F9BD4"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6" w:space="0" w:color="7F7F7F" w:themeColor="text1" w:themeTint="80"/>
              <w:left w:val="nil"/>
              <w:bottom w:val="single" w:sz="6" w:space="0" w:color="7F7F7F" w:themeColor="text1" w:themeTint="80"/>
              <w:right w:val="nil"/>
            </w:tcBorders>
          </w:tcPr>
          <w:p w14:paraId="3F19F280"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Reading </w:t>
            </w:r>
          </w:p>
        </w:tc>
        <w:tc>
          <w:tcPr>
            <w:tcW w:w="1569" w:type="dxa"/>
            <w:tcBorders>
              <w:top w:val="single" w:sz="6" w:space="0" w:color="7F7F7F" w:themeColor="text1" w:themeTint="80"/>
              <w:left w:val="nil"/>
              <w:bottom w:val="single" w:sz="6" w:space="0" w:color="7F7F7F" w:themeColor="text1" w:themeTint="80"/>
              <w:right w:val="nil"/>
            </w:tcBorders>
          </w:tcPr>
          <w:p w14:paraId="6178F436"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569" w:type="dxa"/>
            <w:tcBorders>
              <w:top w:val="single" w:sz="6" w:space="0" w:color="7F7F7F" w:themeColor="text1" w:themeTint="80"/>
              <w:left w:val="nil"/>
              <w:bottom w:val="single" w:sz="6" w:space="0" w:color="7F7F7F" w:themeColor="text1" w:themeTint="80"/>
              <w:right w:val="nil"/>
            </w:tcBorders>
          </w:tcPr>
          <w:p w14:paraId="783DA20B"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691" w:type="dxa"/>
            <w:tcBorders>
              <w:top w:val="single" w:sz="6" w:space="0" w:color="7F7F7F" w:themeColor="text1" w:themeTint="80"/>
              <w:left w:val="nil"/>
              <w:bottom w:val="single" w:sz="6" w:space="0" w:color="7F7F7F" w:themeColor="text1" w:themeTint="80"/>
              <w:right w:val="nil"/>
            </w:tcBorders>
          </w:tcPr>
          <w:p w14:paraId="6F7E6572"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843" w:type="dxa"/>
            <w:tcBorders>
              <w:top w:val="single" w:sz="6" w:space="0" w:color="7F7F7F" w:themeColor="text1" w:themeTint="80"/>
              <w:left w:val="nil"/>
              <w:bottom w:val="single" w:sz="6" w:space="0" w:color="7F7F7F" w:themeColor="text1" w:themeTint="80"/>
              <w:right w:val="nil"/>
            </w:tcBorders>
          </w:tcPr>
          <w:p w14:paraId="5F06C484"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559" w:type="dxa"/>
            <w:tcBorders>
              <w:top w:val="single" w:sz="6" w:space="0" w:color="7F7F7F" w:themeColor="text1" w:themeTint="80"/>
              <w:left w:val="nil"/>
              <w:bottom w:val="single" w:sz="6" w:space="0" w:color="7F7F7F" w:themeColor="text1" w:themeTint="80"/>
              <w:right w:val="nil"/>
            </w:tcBorders>
          </w:tcPr>
          <w:p w14:paraId="21ADF0C5"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2422 (647)</w:t>
            </w:r>
          </w:p>
        </w:tc>
        <w:tc>
          <w:tcPr>
            <w:tcW w:w="1843" w:type="dxa"/>
            <w:tcBorders>
              <w:top w:val="single" w:sz="6" w:space="0" w:color="7F7F7F" w:themeColor="text1" w:themeTint="80"/>
              <w:left w:val="nil"/>
              <w:bottom w:val="single" w:sz="6" w:space="0" w:color="7F7F7F" w:themeColor="text1" w:themeTint="80"/>
              <w:right w:val="nil"/>
            </w:tcBorders>
          </w:tcPr>
          <w:p w14:paraId="28FA6FDD"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2412 (588)</w:t>
            </w:r>
          </w:p>
        </w:tc>
      </w:tr>
      <w:tr w:rsidR="00C37833" w14:paraId="25DF7E77" w14:textId="77777777" w:rsidTr="5F2FAE35">
        <w:trPr>
          <w:trHeight w:val="300"/>
        </w:trPr>
        <w:tc>
          <w:tcPr>
            <w:tcW w:w="2127" w:type="dxa"/>
            <w:tcBorders>
              <w:top w:val="single" w:sz="6" w:space="0" w:color="7F7F7F" w:themeColor="text1" w:themeTint="80"/>
              <w:left w:val="nil"/>
              <w:bottom w:val="nil"/>
              <w:right w:val="nil"/>
            </w:tcBorders>
          </w:tcPr>
          <w:p w14:paraId="2B3AC990"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 xml:space="preserve">The Raine Study </w:t>
            </w:r>
          </w:p>
        </w:tc>
        <w:tc>
          <w:tcPr>
            <w:tcW w:w="1701" w:type="dxa"/>
            <w:tcBorders>
              <w:top w:val="single" w:sz="6" w:space="0" w:color="7F7F7F" w:themeColor="text1" w:themeTint="80"/>
              <w:left w:val="nil"/>
              <w:bottom w:val="nil"/>
              <w:right w:val="nil"/>
            </w:tcBorders>
          </w:tcPr>
          <w:p w14:paraId="09536345"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6" w:space="0" w:color="7F7F7F" w:themeColor="text1" w:themeTint="80"/>
              <w:left w:val="nil"/>
              <w:bottom w:val="nil"/>
              <w:right w:val="nil"/>
            </w:tcBorders>
          </w:tcPr>
          <w:p w14:paraId="5F140C41"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Language </w:t>
            </w:r>
          </w:p>
        </w:tc>
        <w:tc>
          <w:tcPr>
            <w:tcW w:w="1569" w:type="dxa"/>
            <w:tcBorders>
              <w:top w:val="single" w:sz="6" w:space="0" w:color="7F7F7F" w:themeColor="text1" w:themeTint="80"/>
              <w:left w:val="nil"/>
              <w:bottom w:val="nil"/>
              <w:right w:val="nil"/>
            </w:tcBorders>
          </w:tcPr>
          <w:p w14:paraId="1F2710AD"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569" w:type="dxa"/>
            <w:tcBorders>
              <w:top w:val="single" w:sz="6" w:space="0" w:color="7F7F7F" w:themeColor="text1" w:themeTint="80"/>
              <w:left w:val="nil"/>
              <w:bottom w:val="nil"/>
              <w:right w:val="nil"/>
            </w:tcBorders>
          </w:tcPr>
          <w:p w14:paraId="38B78860"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691" w:type="dxa"/>
            <w:tcBorders>
              <w:top w:val="single" w:sz="6" w:space="0" w:color="7F7F7F" w:themeColor="text1" w:themeTint="80"/>
              <w:left w:val="nil"/>
              <w:bottom w:val="nil"/>
              <w:right w:val="nil"/>
            </w:tcBorders>
          </w:tcPr>
          <w:p w14:paraId="73F7A84F" w14:textId="1C89524D" w:rsidR="00F578D4" w:rsidRDefault="00C37833"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 xml:space="preserve">45.43 </w:t>
            </w:r>
            <w:r w:rsidR="00F578D4" w:rsidRPr="1C3C5658">
              <w:rPr>
                <w:rFonts w:ascii="Calibri" w:eastAsia="Calibri" w:hAnsi="Calibri" w:cs="Calibri"/>
                <w:color w:val="000000" w:themeColor="text1"/>
                <w:sz w:val="22"/>
                <w:szCs w:val="22"/>
                <w:lang w:val="en-US"/>
              </w:rPr>
              <w:t>(25.78)</w:t>
            </w:r>
          </w:p>
        </w:tc>
        <w:tc>
          <w:tcPr>
            <w:tcW w:w="1843" w:type="dxa"/>
            <w:tcBorders>
              <w:top w:val="single" w:sz="6" w:space="0" w:color="7F7F7F" w:themeColor="text1" w:themeTint="80"/>
              <w:left w:val="nil"/>
              <w:bottom w:val="nil"/>
              <w:right w:val="nil"/>
            </w:tcBorders>
          </w:tcPr>
          <w:p w14:paraId="7F00CBF1"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45.96 (20.97)</w:t>
            </w:r>
          </w:p>
        </w:tc>
        <w:tc>
          <w:tcPr>
            <w:tcW w:w="1559" w:type="dxa"/>
            <w:tcBorders>
              <w:top w:val="single" w:sz="6" w:space="0" w:color="7F7F7F" w:themeColor="text1" w:themeTint="80"/>
              <w:left w:val="nil"/>
              <w:bottom w:val="nil"/>
              <w:right w:val="nil"/>
            </w:tcBorders>
          </w:tcPr>
          <w:p w14:paraId="5C9CD675"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3473 (579.77)</w:t>
            </w:r>
          </w:p>
        </w:tc>
        <w:tc>
          <w:tcPr>
            <w:tcW w:w="1843" w:type="dxa"/>
            <w:tcBorders>
              <w:top w:val="single" w:sz="6" w:space="0" w:color="7F7F7F" w:themeColor="text1" w:themeTint="80"/>
              <w:left w:val="nil"/>
              <w:bottom w:val="nil"/>
              <w:right w:val="nil"/>
            </w:tcBorders>
          </w:tcPr>
          <w:p w14:paraId="07DC34BA"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3329 (641.19)</w:t>
            </w:r>
          </w:p>
        </w:tc>
      </w:tr>
      <w:tr w:rsidR="00C37833" w14:paraId="5D8D5841" w14:textId="77777777" w:rsidTr="5F2FAE35">
        <w:trPr>
          <w:trHeight w:val="300"/>
        </w:trPr>
        <w:tc>
          <w:tcPr>
            <w:tcW w:w="2127" w:type="dxa"/>
            <w:tcBorders>
              <w:top w:val="single" w:sz="6" w:space="0" w:color="7F7F7F" w:themeColor="text1" w:themeTint="80"/>
              <w:left w:val="nil"/>
              <w:bottom w:val="single" w:sz="6" w:space="0" w:color="7F7F7F" w:themeColor="text1" w:themeTint="80"/>
              <w:right w:val="nil"/>
            </w:tcBorders>
          </w:tcPr>
          <w:p w14:paraId="0A036C3B" w14:textId="3B460922" w:rsidR="00F578D4" w:rsidRDefault="008A439E" w:rsidP="00C37833">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TEDS Reading</w:t>
            </w:r>
            <w:r w:rsidR="00F578D4" w:rsidRPr="00F578D4">
              <w:rPr>
                <w:rFonts w:ascii="Calibri" w:eastAsia="Calibri" w:hAnsi="Calibri" w:cs="Calibri"/>
                <w:b/>
                <w:bCs/>
                <w:color w:val="000000" w:themeColor="text1"/>
                <w:sz w:val="22"/>
                <w:szCs w:val="22"/>
                <w:vertAlign w:val="superscript"/>
              </w:rPr>
              <w:t>1</w:t>
            </w:r>
          </w:p>
        </w:tc>
        <w:tc>
          <w:tcPr>
            <w:tcW w:w="1701" w:type="dxa"/>
            <w:tcBorders>
              <w:top w:val="single" w:sz="6" w:space="0" w:color="7F7F7F" w:themeColor="text1" w:themeTint="80"/>
              <w:left w:val="nil"/>
              <w:bottom w:val="single" w:sz="6" w:space="0" w:color="7F7F7F" w:themeColor="text1" w:themeTint="80"/>
              <w:right w:val="nil"/>
            </w:tcBorders>
          </w:tcPr>
          <w:p w14:paraId="405BD479"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6" w:space="0" w:color="7F7F7F" w:themeColor="text1" w:themeTint="80"/>
              <w:left w:val="nil"/>
              <w:bottom w:val="single" w:sz="6" w:space="0" w:color="7F7F7F" w:themeColor="text1" w:themeTint="80"/>
              <w:right w:val="nil"/>
            </w:tcBorders>
          </w:tcPr>
          <w:p w14:paraId="1DF2F2E9"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Reading </w:t>
            </w:r>
          </w:p>
        </w:tc>
        <w:tc>
          <w:tcPr>
            <w:tcW w:w="1569" w:type="dxa"/>
            <w:tcBorders>
              <w:top w:val="single" w:sz="6" w:space="0" w:color="7F7F7F" w:themeColor="text1" w:themeTint="80"/>
              <w:left w:val="nil"/>
              <w:bottom w:val="single" w:sz="6" w:space="0" w:color="7F7F7F" w:themeColor="text1" w:themeTint="80"/>
              <w:right w:val="nil"/>
            </w:tcBorders>
          </w:tcPr>
          <w:p w14:paraId="0C5D9D07" w14:textId="7B82B697" w:rsidR="00F578D4" w:rsidRDefault="00C37833"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 xml:space="preserve">0.136 </w:t>
            </w:r>
            <w:r w:rsidR="00F578D4" w:rsidRPr="10477AA3">
              <w:rPr>
                <w:rFonts w:ascii="Calibri" w:eastAsia="Calibri" w:hAnsi="Calibri" w:cs="Calibri"/>
                <w:color w:val="000000" w:themeColor="text1"/>
                <w:sz w:val="22"/>
                <w:szCs w:val="22"/>
                <w:lang w:val="en-US"/>
              </w:rPr>
              <w:t>(0.810)</w:t>
            </w:r>
          </w:p>
        </w:tc>
        <w:tc>
          <w:tcPr>
            <w:tcW w:w="1569" w:type="dxa"/>
            <w:tcBorders>
              <w:top w:val="single" w:sz="6" w:space="0" w:color="7F7F7F" w:themeColor="text1" w:themeTint="80"/>
              <w:left w:val="nil"/>
              <w:bottom w:val="single" w:sz="6" w:space="0" w:color="7F7F7F" w:themeColor="text1" w:themeTint="80"/>
              <w:right w:val="nil"/>
            </w:tcBorders>
          </w:tcPr>
          <w:p w14:paraId="7E5DDAD9" w14:textId="00EE7706" w:rsidR="00F578D4" w:rsidRDefault="00C37833" w:rsidP="00AC1D62">
            <w:pPr>
              <w:jc w:val="cente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0.0741</w:t>
            </w:r>
            <w:r w:rsidR="00F578D4" w:rsidRPr="10477AA3">
              <w:rPr>
                <w:rFonts w:ascii="Calibri" w:eastAsia="Calibri" w:hAnsi="Calibri" w:cs="Calibri"/>
                <w:color w:val="000000" w:themeColor="text1"/>
                <w:sz w:val="22"/>
                <w:szCs w:val="22"/>
                <w:lang w:val="en-US"/>
              </w:rPr>
              <w:t>(0.678)</w:t>
            </w:r>
          </w:p>
        </w:tc>
        <w:tc>
          <w:tcPr>
            <w:tcW w:w="1691" w:type="dxa"/>
            <w:tcBorders>
              <w:top w:val="single" w:sz="6" w:space="0" w:color="7F7F7F" w:themeColor="text1" w:themeTint="80"/>
              <w:left w:val="nil"/>
              <w:bottom w:val="single" w:sz="6" w:space="0" w:color="7F7F7F" w:themeColor="text1" w:themeTint="80"/>
              <w:right w:val="nil"/>
            </w:tcBorders>
          </w:tcPr>
          <w:p w14:paraId="71A1B7B5"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0.246 (0.622)</w:t>
            </w:r>
          </w:p>
        </w:tc>
        <w:tc>
          <w:tcPr>
            <w:tcW w:w="1843" w:type="dxa"/>
            <w:tcBorders>
              <w:top w:val="single" w:sz="6" w:space="0" w:color="7F7F7F" w:themeColor="text1" w:themeTint="80"/>
              <w:left w:val="nil"/>
              <w:bottom w:val="single" w:sz="6" w:space="0" w:color="7F7F7F" w:themeColor="text1" w:themeTint="80"/>
              <w:right w:val="nil"/>
            </w:tcBorders>
          </w:tcPr>
          <w:p w14:paraId="641184C7"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0.211 (0.717)</w:t>
            </w:r>
          </w:p>
        </w:tc>
        <w:tc>
          <w:tcPr>
            <w:tcW w:w="1559" w:type="dxa"/>
            <w:tcBorders>
              <w:top w:val="single" w:sz="6" w:space="0" w:color="7F7F7F" w:themeColor="text1" w:themeTint="80"/>
              <w:left w:val="nil"/>
              <w:bottom w:val="single" w:sz="6" w:space="0" w:color="7F7F7F" w:themeColor="text1" w:themeTint="80"/>
              <w:right w:val="nil"/>
            </w:tcBorders>
          </w:tcPr>
          <w:p w14:paraId="0F1FA109" w14:textId="08AA16D1"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2</w:t>
            </w:r>
            <w:r w:rsidR="00C37833">
              <w:rPr>
                <w:rFonts w:ascii="Calibri" w:eastAsia="Calibri" w:hAnsi="Calibri" w:cs="Calibri"/>
                <w:color w:val="000000" w:themeColor="text1"/>
                <w:sz w:val="22"/>
                <w:szCs w:val="22"/>
                <w:lang w:val="en-US"/>
              </w:rPr>
              <w:t>612 (461</w:t>
            </w:r>
            <w:r w:rsidR="339B55F9" w:rsidRPr="3E465657">
              <w:rPr>
                <w:rFonts w:ascii="Calibri" w:eastAsia="Calibri" w:hAnsi="Calibri" w:cs="Calibri"/>
                <w:color w:val="000000" w:themeColor="text1"/>
                <w:sz w:val="22"/>
                <w:szCs w:val="22"/>
                <w:lang w:val="en-US"/>
              </w:rPr>
              <w:t>)</w:t>
            </w:r>
            <w:r w:rsidR="005E647F">
              <w:rPr>
                <w:rFonts w:ascii="Calibri" w:eastAsia="Calibri" w:hAnsi="Calibri" w:cs="Calibri"/>
                <w:color w:val="000000" w:themeColor="text1"/>
                <w:sz w:val="22"/>
                <w:szCs w:val="22"/>
                <w:lang w:val="en-US"/>
              </w:rPr>
              <w:t>*</w:t>
            </w:r>
          </w:p>
        </w:tc>
        <w:tc>
          <w:tcPr>
            <w:tcW w:w="1843" w:type="dxa"/>
            <w:tcBorders>
              <w:top w:val="single" w:sz="6" w:space="0" w:color="7F7F7F" w:themeColor="text1" w:themeTint="80"/>
              <w:left w:val="nil"/>
              <w:bottom w:val="single" w:sz="6" w:space="0" w:color="7F7F7F" w:themeColor="text1" w:themeTint="80"/>
              <w:right w:val="nil"/>
            </w:tcBorders>
          </w:tcPr>
          <w:p w14:paraId="4B718879" w14:textId="44488D48"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2391 (525)</w:t>
            </w:r>
            <w:r w:rsidR="005E647F">
              <w:rPr>
                <w:rFonts w:ascii="Calibri" w:eastAsia="Calibri" w:hAnsi="Calibri" w:cs="Calibri"/>
                <w:color w:val="000000" w:themeColor="text1"/>
                <w:sz w:val="22"/>
                <w:szCs w:val="22"/>
              </w:rPr>
              <w:t>*</w:t>
            </w:r>
          </w:p>
        </w:tc>
      </w:tr>
      <w:tr w:rsidR="00C37833" w14:paraId="39FEA0EF" w14:textId="77777777" w:rsidTr="5F2FAE35">
        <w:trPr>
          <w:trHeight w:val="360"/>
        </w:trPr>
        <w:tc>
          <w:tcPr>
            <w:tcW w:w="2127" w:type="dxa"/>
            <w:tcBorders>
              <w:top w:val="single" w:sz="6" w:space="0" w:color="7F7F7F" w:themeColor="text1" w:themeTint="80"/>
              <w:left w:val="nil"/>
              <w:bottom w:val="nil"/>
              <w:right w:val="nil"/>
            </w:tcBorders>
          </w:tcPr>
          <w:p w14:paraId="127FAEB3" w14:textId="29754249" w:rsidR="00F578D4" w:rsidRDefault="008A439E" w:rsidP="00C37833">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TEDS Language</w:t>
            </w:r>
            <w:r w:rsidR="00F578D4" w:rsidRPr="00F578D4">
              <w:rPr>
                <w:rFonts w:ascii="Calibri" w:eastAsia="Calibri" w:hAnsi="Calibri" w:cs="Calibri"/>
                <w:b/>
                <w:bCs/>
                <w:color w:val="000000" w:themeColor="text1"/>
                <w:sz w:val="22"/>
                <w:szCs w:val="22"/>
                <w:vertAlign w:val="superscript"/>
              </w:rPr>
              <w:t>1</w:t>
            </w:r>
          </w:p>
        </w:tc>
        <w:tc>
          <w:tcPr>
            <w:tcW w:w="1701" w:type="dxa"/>
            <w:tcBorders>
              <w:top w:val="single" w:sz="6" w:space="0" w:color="7F7F7F" w:themeColor="text1" w:themeTint="80"/>
              <w:left w:val="nil"/>
              <w:bottom w:val="nil"/>
              <w:right w:val="nil"/>
            </w:tcBorders>
          </w:tcPr>
          <w:p w14:paraId="475DD0E2"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Epidemiological </w:t>
            </w:r>
          </w:p>
        </w:tc>
        <w:tc>
          <w:tcPr>
            <w:tcW w:w="1239" w:type="dxa"/>
            <w:tcBorders>
              <w:top w:val="single" w:sz="6" w:space="0" w:color="7F7F7F" w:themeColor="text1" w:themeTint="80"/>
              <w:left w:val="nil"/>
              <w:bottom w:val="nil"/>
              <w:right w:val="nil"/>
            </w:tcBorders>
          </w:tcPr>
          <w:p w14:paraId="75234F5B"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Language </w:t>
            </w:r>
          </w:p>
        </w:tc>
        <w:tc>
          <w:tcPr>
            <w:tcW w:w="1569" w:type="dxa"/>
            <w:tcBorders>
              <w:top w:val="single" w:sz="6" w:space="0" w:color="7F7F7F" w:themeColor="text1" w:themeTint="80"/>
              <w:left w:val="nil"/>
              <w:bottom w:val="nil"/>
              <w:right w:val="nil"/>
            </w:tcBorders>
          </w:tcPr>
          <w:p w14:paraId="66A84D6B"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-0.898 (0.623)</w:t>
            </w:r>
          </w:p>
        </w:tc>
        <w:tc>
          <w:tcPr>
            <w:tcW w:w="1569" w:type="dxa"/>
            <w:tcBorders>
              <w:top w:val="single" w:sz="6" w:space="0" w:color="7F7F7F" w:themeColor="text1" w:themeTint="80"/>
              <w:left w:val="nil"/>
              <w:bottom w:val="nil"/>
              <w:right w:val="nil"/>
            </w:tcBorders>
          </w:tcPr>
          <w:p w14:paraId="61AEE958"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-0.777 (0.574)</w:t>
            </w:r>
          </w:p>
        </w:tc>
        <w:tc>
          <w:tcPr>
            <w:tcW w:w="1691" w:type="dxa"/>
            <w:tcBorders>
              <w:top w:val="single" w:sz="6" w:space="0" w:color="7F7F7F" w:themeColor="text1" w:themeTint="80"/>
              <w:left w:val="nil"/>
              <w:bottom w:val="nil"/>
              <w:right w:val="nil"/>
            </w:tcBorders>
          </w:tcPr>
          <w:p w14:paraId="0E3ACF41"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-0.207 (0.583)</w:t>
            </w:r>
          </w:p>
        </w:tc>
        <w:tc>
          <w:tcPr>
            <w:tcW w:w="1843" w:type="dxa"/>
            <w:tcBorders>
              <w:top w:val="single" w:sz="6" w:space="0" w:color="7F7F7F" w:themeColor="text1" w:themeTint="80"/>
              <w:left w:val="nil"/>
              <w:bottom w:val="nil"/>
              <w:right w:val="nil"/>
            </w:tcBorders>
          </w:tcPr>
          <w:p w14:paraId="012DB4E1"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-0.115 (0.633)</w:t>
            </w:r>
          </w:p>
        </w:tc>
        <w:tc>
          <w:tcPr>
            <w:tcW w:w="1559" w:type="dxa"/>
            <w:tcBorders>
              <w:top w:val="single" w:sz="6" w:space="0" w:color="7F7F7F" w:themeColor="text1" w:themeTint="80"/>
              <w:left w:val="nil"/>
              <w:bottom w:val="nil"/>
              <w:right w:val="nil"/>
            </w:tcBorders>
          </w:tcPr>
          <w:p w14:paraId="5180BB0F"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2319 (513)</w:t>
            </w:r>
          </w:p>
        </w:tc>
        <w:tc>
          <w:tcPr>
            <w:tcW w:w="1843" w:type="dxa"/>
            <w:tcBorders>
              <w:top w:val="single" w:sz="6" w:space="0" w:color="7F7F7F" w:themeColor="text1" w:themeTint="80"/>
              <w:left w:val="nil"/>
              <w:bottom w:val="nil"/>
              <w:right w:val="nil"/>
            </w:tcBorders>
          </w:tcPr>
          <w:p w14:paraId="52950571"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2507 (503)</w:t>
            </w:r>
          </w:p>
        </w:tc>
      </w:tr>
      <w:tr w:rsidR="00C37833" w14:paraId="5D6E30DA" w14:textId="77777777" w:rsidTr="5F2FAE35">
        <w:trPr>
          <w:trHeight w:val="540"/>
        </w:trPr>
        <w:tc>
          <w:tcPr>
            <w:tcW w:w="2127" w:type="dxa"/>
            <w:tcBorders>
              <w:top w:val="single" w:sz="6" w:space="0" w:color="7F7F7F" w:themeColor="text1" w:themeTint="80"/>
              <w:left w:val="nil"/>
              <w:bottom w:val="single" w:sz="6" w:space="0" w:color="7F7F7F" w:themeColor="text1" w:themeTint="80"/>
              <w:right w:val="nil"/>
            </w:tcBorders>
          </w:tcPr>
          <w:p w14:paraId="7870C557" w14:textId="070B318D" w:rsidR="00F578D4" w:rsidRDefault="008A439E" w:rsidP="00AC1D62">
            <w:pPr>
              <w:jc w:val="center"/>
              <w:rPr>
                <w:rFonts w:ascii="Calibri" w:eastAsia="Calibri" w:hAnsi="Calibri" w:cs="Calibri"/>
                <w:color w:val="000000" w:themeColor="text1"/>
                <w:sz w:val="17"/>
                <w:szCs w:val="17"/>
              </w:rPr>
            </w:pPr>
            <w:r>
              <w:rPr>
                <w:rFonts w:ascii="Calibri" w:eastAsia="Calibri" w:hAnsi="Calibri" w:cs="Calibri"/>
                <w:b/>
                <w:bCs/>
                <w:color w:val="000000" w:themeColor="text1"/>
                <w:sz w:val="22"/>
                <w:szCs w:val="22"/>
              </w:rPr>
              <w:t>Manchester Language Study</w:t>
            </w:r>
            <w:r w:rsidR="00F578D4" w:rsidRPr="10477AA3">
              <w:rPr>
                <w:rFonts w:ascii="Calibri" w:eastAsia="Calibri" w:hAnsi="Calibri" w:cs="Calibri"/>
                <w:b/>
                <w:bCs/>
                <w:color w:val="000000" w:themeColor="text1"/>
                <w:sz w:val="17"/>
                <w:szCs w:val="17"/>
              </w:rPr>
              <w:t xml:space="preserve"> </w:t>
            </w:r>
          </w:p>
        </w:tc>
        <w:tc>
          <w:tcPr>
            <w:tcW w:w="1701" w:type="dxa"/>
            <w:tcBorders>
              <w:top w:val="single" w:sz="6" w:space="0" w:color="7F7F7F" w:themeColor="text1" w:themeTint="80"/>
              <w:left w:val="nil"/>
              <w:bottom w:val="single" w:sz="6" w:space="0" w:color="7F7F7F" w:themeColor="text1" w:themeTint="80"/>
              <w:right w:val="nil"/>
            </w:tcBorders>
          </w:tcPr>
          <w:p w14:paraId="194F969D"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Clinical </w:t>
            </w:r>
          </w:p>
        </w:tc>
        <w:tc>
          <w:tcPr>
            <w:tcW w:w="1239" w:type="dxa"/>
            <w:tcBorders>
              <w:top w:val="single" w:sz="6" w:space="0" w:color="7F7F7F" w:themeColor="text1" w:themeTint="80"/>
              <w:left w:val="nil"/>
              <w:bottom w:val="single" w:sz="6" w:space="0" w:color="7F7F7F" w:themeColor="text1" w:themeTint="80"/>
              <w:right w:val="nil"/>
            </w:tcBorders>
          </w:tcPr>
          <w:p w14:paraId="1D51D031"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Language </w:t>
            </w:r>
          </w:p>
        </w:tc>
        <w:tc>
          <w:tcPr>
            <w:tcW w:w="1569" w:type="dxa"/>
            <w:tcBorders>
              <w:top w:val="single" w:sz="6" w:space="0" w:color="7F7F7F" w:themeColor="text1" w:themeTint="80"/>
              <w:left w:val="nil"/>
              <w:bottom w:val="single" w:sz="6" w:space="0" w:color="7F7F7F" w:themeColor="text1" w:themeTint="80"/>
              <w:right w:val="nil"/>
            </w:tcBorders>
          </w:tcPr>
          <w:p w14:paraId="66ACA265" w14:textId="2F340E35" w:rsidR="00F578D4" w:rsidRDefault="1C472908" w:rsidP="00AC1D62">
            <w:pPr>
              <w:jc w:val="center"/>
              <w:rPr>
                <w:rFonts w:ascii="Calibri" w:eastAsia="Calibri" w:hAnsi="Calibri" w:cs="Calibri"/>
                <w:color w:val="000000" w:themeColor="text1"/>
                <w:sz w:val="22"/>
                <w:szCs w:val="22"/>
                <w:lang w:val="en-US"/>
              </w:rPr>
            </w:pPr>
            <w:r w:rsidRPr="5F2FAE35">
              <w:rPr>
                <w:rFonts w:ascii="Calibri" w:eastAsia="Calibri" w:hAnsi="Calibri" w:cs="Calibri"/>
                <w:color w:val="000000" w:themeColor="text1"/>
                <w:sz w:val="22"/>
                <w:szCs w:val="22"/>
                <w:lang w:val="en-US"/>
              </w:rPr>
              <w:t>/</w:t>
            </w:r>
            <w:r w:rsidR="4D34893F" w:rsidRPr="5F2FAE35">
              <w:rPr>
                <w:rFonts w:ascii="Calibri" w:eastAsia="Calibri" w:hAnsi="Calibri" w:cs="Calibri"/>
                <w:color w:val="000000" w:themeColor="text1"/>
                <w:sz w:val="22"/>
                <w:szCs w:val="22"/>
                <w:lang w:val="en-US"/>
              </w:rPr>
              <w:t xml:space="preserve"> </w:t>
            </w:r>
          </w:p>
        </w:tc>
        <w:tc>
          <w:tcPr>
            <w:tcW w:w="1569" w:type="dxa"/>
            <w:tcBorders>
              <w:top w:val="single" w:sz="6" w:space="0" w:color="7F7F7F" w:themeColor="text1" w:themeTint="80"/>
              <w:left w:val="nil"/>
              <w:bottom w:val="single" w:sz="6" w:space="0" w:color="7F7F7F" w:themeColor="text1" w:themeTint="80"/>
              <w:right w:val="nil"/>
            </w:tcBorders>
          </w:tcPr>
          <w:p w14:paraId="07DED82F" w14:textId="3219D872" w:rsidR="00F578D4" w:rsidRDefault="34891439" w:rsidP="008A439E">
            <w:pPr>
              <w:spacing w:line="259" w:lineRule="auto"/>
              <w:jc w:val="center"/>
              <w:rPr>
                <w:rFonts w:ascii="Calibri" w:eastAsia="Calibri" w:hAnsi="Calibri" w:cs="Calibri"/>
                <w:color w:val="000000" w:themeColor="text1"/>
                <w:sz w:val="22"/>
                <w:szCs w:val="22"/>
                <w:lang w:val="en-US"/>
              </w:rPr>
            </w:pPr>
            <w:r w:rsidRPr="5F2FAE35">
              <w:rPr>
                <w:rFonts w:ascii="Calibri" w:eastAsia="Calibri" w:hAnsi="Calibri" w:cs="Calibri"/>
                <w:color w:val="000000" w:themeColor="text1"/>
                <w:sz w:val="22"/>
                <w:szCs w:val="22"/>
                <w:lang w:val="en-US"/>
              </w:rPr>
              <w:t xml:space="preserve">/ </w:t>
            </w:r>
          </w:p>
        </w:tc>
        <w:tc>
          <w:tcPr>
            <w:tcW w:w="1691" w:type="dxa"/>
            <w:tcBorders>
              <w:top w:val="single" w:sz="6" w:space="0" w:color="7F7F7F" w:themeColor="text1" w:themeTint="80"/>
              <w:left w:val="nil"/>
              <w:bottom w:val="single" w:sz="6" w:space="0" w:color="7F7F7F" w:themeColor="text1" w:themeTint="80"/>
              <w:right w:val="nil"/>
            </w:tcBorders>
          </w:tcPr>
          <w:p w14:paraId="0B182E3D" w14:textId="2765449A" w:rsidR="00F578D4" w:rsidRDefault="043F945F" w:rsidP="5F2FAE35">
            <w:pPr>
              <w:spacing w:line="259" w:lineRule="auto"/>
              <w:jc w:val="center"/>
              <w:rPr>
                <w:rFonts w:ascii="Calibri" w:eastAsia="Calibri" w:hAnsi="Calibri" w:cs="Calibri"/>
                <w:color w:val="000000" w:themeColor="text1"/>
                <w:sz w:val="22"/>
                <w:szCs w:val="22"/>
              </w:rPr>
            </w:pPr>
            <w:r w:rsidRPr="5F2FAE35">
              <w:rPr>
                <w:rFonts w:ascii="Calibri" w:eastAsia="Calibri" w:hAnsi="Calibri" w:cs="Calibri"/>
                <w:color w:val="000000" w:themeColor="text1"/>
                <w:sz w:val="22"/>
                <w:szCs w:val="22"/>
                <w:lang w:val="en-US"/>
              </w:rPr>
              <w:t>108.7 (11)</w:t>
            </w:r>
            <w:r w:rsidRPr="5F2FAE35">
              <w:rPr>
                <w:rFonts w:ascii="Calibri" w:eastAsia="Calibri" w:hAnsi="Calibri" w:cs="Calibri"/>
                <w:color w:val="000000" w:themeColor="text1"/>
                <w:sz w:val="22"/>
                <w:szCs w:val="22"/>
              </w:rPr>
              <w:t xml:space="preserve"> </w:t>
            </w:r>
          </w:p>
        </w:tc>
        <w:tc>
          <w:tcPr>
            <w:tcW w:w="1843" w:type="dxa"/>
            <w:tcBorders>
              <w:top w:val="single" w:sz="6" w:space="0" w:color="7F7F7F" w:themeColor="text1" w:themeTint="80"/>
              <w:left w:val="nil"/>
              <w:bottom w:val="single" w:sz="6" w:space="0" w:color="7F7F7F" w:themeColor="text1" w:themeTint="80"/>
              <w:right w:val="nil"/>
            </w:tcBorders>
          </w:tcPr>
          <w:p w14:paraId="39B27F40" w14:textId="53B85C47" w:rsidR="00F578D4" w:rsidRDefault="6B58A3B0" w:rsidP="5F2FAE35">
            <w:pPr>
              <w:spacing w:line="259" w:lineRule="auto"/>
              <w:jc w:val="center"/>
              <w:rPr>
                <w:rFonts w:ascii="Calibri" w:eastAsia="Calibri" w:hAnsi="Calibri" w:cs="Calibri"/>
                <w:color w:val="000000" w:themeColor="text1"/>
                <w:sz w:val="22"/>
                <w:szCs w:val="22"/>
              </w:rPr>
            </w:pPr>
            <w:r w:rsidRPr="5F2FAE35">
              <w:rPr>
                <w:rFonts w:ascii="Calibri" w:eastAsia="Calibri" w:hAnsi="Calibri" w:cs="Calibri"/>
                <w:color w:val="000000" w:themeColor="text1"/>
                <w:sz w:val="22"/>
                <w:szCs w:val="22"/>
                <w:lang w:val="en-US"/>
              </w:rPr>
              <w:t>110 (12)</w:t>
            </w:r>
            <w:r w:rsidR="0010157D" w:rsidRPr="5F2FAE35">
              <w:rPr>
                <w:rFonts w:ascii="Calibri" w:eastAsia="Calibri" w:hAnsi="Calibri" w:cs="Calibri"/>
                <w:color w:val="000000" w:themeColor="text1"/>
                <w:sz w:val="22"/>
                <w:szCs w:val="22"/>
              </w:rPr>
              <w:t>)</w:t>
            </w:r>
          </w:p>
        </w:tc>
        <w:tc>
          <w:tcPr>
            <w:tcW w:w="1559" w:type="dxa"/>
            <w:tcBorders>
              <w:top w:val="single" w:sz="6" w:space="0" w:color="7F7F7F" w:themeColor="text1" w:themeTint="80"/>
              <w:left w:val="nil"/>
              <w:bottom w:val="single" w:sz="6" w:space="0" w:color="7F7F7F" w:themeColor="text1" w:themeTint="80"/>
              <w:right w:val="nil"/>
            </w:tcBorders>
          </w:tcPr>
          <w:p w14:paraId="0FC890B8" w14:textId="2B8EF32D" w:rsidR="00F578D4" w:rsidRDefault="2B382031" w:rsidP="00AC1D62">
            <w:pPr>
              <w:jc w:val="center"/>
              <w:rPr>
                <w:rFonts w:ascii="Calibri" w:eastAsia="Calibri" w:hAnsi="Calibri" w:cs="Calibri"/>
                <w:color w:val="000000" w:themeColor="text1"/>
                <w:sz w:val="22"/>
                <w:szCs w:val="22"/>
                <w:lang w:val="en-US"/>
              </w:rPr>
            </w:pPr>
            <w:r w:rsidRPr="5F2FAE35">
              <w:rPr>
                <w:rFonts w:ascii="Calibri" w:eastAsia="Calibri" w:hAnsi="Calibri" w:cs="Calibri"/>
                <w:color w:val="000000" w:themeColor="text1"/>
                <w:sz w:val="22"/>
                <w:szCs w:val="22"/>
                <w:lang w:val="en-US"/>
              </w:rPr>
              <w:t xml:space="preserve">3401 (640) </w:t>
            </w:r>
          </w:p>
        </w:tc>
        <w:tc>
          <w:tcPr>
            <w:tcW w:w="1843" w:type="dxa"/>
            <w:tcBorders>
              <w:top w:val="single" w:sz="6" w:space="0" w:color="7F7F7F" w:themeColor="text1" w:themeTint="80"/>
              <w:left w:val="nil"/>
              <w:bottom w:val="single" w:sz="6" w:space="0" w:color="7F7F7F" w:themeColor="text1" w:themeTint="80"/>
              <w:right w:val="nil"/>
            </w:tcBorders>
          </w:tcPr>
          <w:p w14:paraId="1C64ADD9" w14:textId="2B1A319C" w:rsidR="00F578D4" w:rsidRDefault="4EA31393" w:rsidP="00AC1D62">
            <w:pPr>
              <w:jc w:val="center"/>
              <w:rPr>
                <w:rFonts w:ascii="Calibri" w:eastAsia="Calibri" w:hAnsi="Calibri" w:cs="Calibri"/>
                <w:color w:val="000000" w:themeColor="text1"/>
                <w:sz w:val="22"/>
                <w:szCs w:val="22"/>
              </w:rPr>
            </w:pPr>
            <w:r w:rsidRPr="5F2FAE35">
              <w:rPr>
                <w:rFonts w:ascii="Calibri" w:eastAsia="Calibri" w:hAnsi="Calibri" w:cs="Calibri"/>
                <w:color w:val="000000" w:themeColor="text1"/>
                <w:sz w:val="22"/>
                <w:szCs w:val="22"/>
              </w:rPr>
              <w:t xml:space="preserve">3347 (544) </w:t>
            </w:r>
          </w:p>
        </w:tc>
      </w:tr>
      <w:tr w:rsidR="00C37833" w14:paraId="608FC0D3" w14:textId="77777777" w:rsidTr="5F2FAE35">
        <w:trPr>
          <w:trHeight w:val="300"/>
        </w:trPr>
        <w:tc>
          <w:tcPr>
            <w:tcW w:w="2127" w:type="dxa"/>
            <w:tcBorders>
              <w:top w:val="single" w:sz="6" w:space="0" w:color="7F7F7F" w:themeColor="text1" w:themeTint="80"/>
              <w:left w:val="nil"/>
              <w:bottom w:val="nil"/>
              <w:right w:val="nil"/>
            </w:tcBorders>
          </w:tcPr>
          <w:p w14:paraId="6754FEEC" w14:textId="60B34D72" w:rsidR="00F578D4" w:rsidRDefault="00F578D4" w:rsidP="00C37833">
            <w:pPr>
              <w:jc w:val="center"/>
              <w:rPr>
                <w:rFonts w:ascii="Calibri" w:eastAsia="Calibri" w:hAnsi="Calibri" w:cs="Calibri"/>
                <w:color w:val="000000" w:themeColor="text1"/>
                <w:sz w:val="17"/>
                <w:szCs w:val="17"/>
              </w:rPr>
            </w:pPr>
            <w:r w:rsidRPr="10477AA3">
              <w:rPr>
                <w:rFonts w:ascii="Calibri" w:eastAsia="Calibri" w:hAnsi="Calibri" w:cs="Calibri"/>
                <w:b/>
                <w:bCs/>
                <w:color w:val="000000" w:themeColor="text1"/>
                <w:sz w:val="22"/>
                <w:szCs w:val="22"/>
              </w:rPr>
              <w:t>Mul</w:t>
            </w:r>
            <w:r w:rsidR="00C37833">
              <w:rPr>
                <w:rFonts w:ascii="Calibri" w:eastAsia="Calibri" w:hAnsi="Calibri" w:cs="Calibri"/>
                <w:b/>
                <w:bCs/>
                <w:color w:val="000000" w:themeColor="text1"/>
                <w:sz w:val="22"/>
                <w:szCs w:val="22"/>
              </w:rPr>
              <w:t>ticenter Study Marburg/Würz</w:t>
            </w:r>
            <w:r w:rsidR="008A439E">
              <w:rPr>
                <w:rFonts w:ascii="Calibri" w:eastAsia="Calibri" w:hAnsi="Calibri" w:cs="Calibri"/>
                <w:b/>
                <w:bCs/>
                <w:color w:val="000000" w:themeColor="text1"/>
                <w:sz w:val="22"/>
                <w:szCs w:val="22"/>
              </w:rPr>
              <w:t>burg</w:t>
            </w:r>
          </w:p>
        </w:tc>
        <w:tc>
          <w:tcPr>
            <w:tcW w:w="1701" w:type="dxa"/>
            <w:tcBorders>
              <w:top w:val="single" w:sz="6" w:space="0" w:color="7F7F7F" w:themeColor="text1" w:themeTint="80"/>
              <w:left w:val="nil"/>
              <w:bottom w:val="nil"/>
              <w:right w:val="nil"/>
            </w:tcBorders>
          </w:tcPr>
          <w:p w14:paraId="42C49ADF"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Clinical </w:t>
            </w:r>
          </w:p>
        </w:tc>
        <w:tc>
          <w:tcPr>
            <w:tcW w:w="1239" w:type="dxa"/>
            <w:tcBorders>
              <w:top w:val="single" w:sz="6" w:space="0" w:color="7F7F7F" w:themeColor="text1" w:themeTint="80"/>
              <w:left w:val="nil"/>
              <w:bottom w:val="nil"/>
              <w:right w:val="nil"/>
            </w:tcBorders>
          </w:tcPr>
          <w:p w14:paraId="0B762F83"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Reading </w:t>
            </w:r>
          </w:p>
        </w:tc>
        <w:tc>
          <w:tcPr>
            <w:tcW w:w="1569" w:type="dxa"/>
            <w:tcBorders>
              <w:top w:val="single" w:sz="6" w:space="0" w:color="7F7F7F" w:themeColor="text1" w:themeTint="80"/>
              <w:left w:val="nil"/>
              <w:bottom w:val="nil"/>
              <w:right w:val="nil"/>
            </w:tcBorders>
          </w:tcPr>
          <w:p w14:paraId="5009678A"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w:t>
            </w:r>
          </w:p>
        </w:tc>
        <w:tc>
          <w:tcPr>
            <w:tcW w:w="1569" w:type="dxa"/>
            <w:tcBorders>
              <w:top w:val="single" w:sz="6" w:space="0" w:color="7F7F7F" w:themeColor="text1" w:themeTint="80"/>
              <w:left w:val="nil"/>
              <w:bottom w:val="nil"/>
              <w:right w:val="nil"/>
            </w:tcBorders>
          </w:tcPr>
          <w:p w14:paraId="13D606C2"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w:t>
            </w:r>
          </w:p>
        </w:tc>
        <w:tc>
          <w:tcPr>
            <w:tcW w:w="1691" w:type="dxa"/>
            <w:tcBorders>
              <w:top w:val="single" w:sz="6" w:space="0" w:color="7F7F7F" w:themeColor="text1" w:themeTint="80"/>
              <w:left w:val="nil"/>
              <w:bottom w:val="nil"/>
              <w:right w:val="nil"/>
            </w:tcBorders>
          </w:tcPr>
          <w:p w14:paraId="14CDE9FD" w14:textId="1F7ACF8F"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107.4</w:t>
            </w:r>
            <w:r w:rsidR="008A439E">
              <w:t xml:space="preserve"> </w:t>
            </w:r>
            <w:r w:rsidRPr="10477AA3">
              <w:rPr>
                <w:rFonts w:ascii="Calibri" w:eastAsia="Calibri" w:hAnsi="Calibri" w:cs="Calibri"/>
                <w:color w:val="000000" w:themeColor="text1"/>
                <w:sz w:val="22"/>
                <w:szCs w:val="22"/>
              </w:rPr>
              <w:t>(12.1)</w:t>
            </w:r>
          </w:p>
        </w:tc>
        <w:tc>
          <w:tcPr>
            <w:tcW w:w="1843" w:type="dxa"/>
            <w:tcBorders>
              <w:top w:val="single" w:sz="6" w:space="0" w:color="7F7F7F" w:themeColor="text1" w:themeTint="80"/>
              <w:left w:val="nil"/>
              <w:bottom w:val="nil"/>
              <w:right w:val="nil"/>
            </w:tcBorders>
          </w:tcPr>
          <w:p w14:paraId="3A965A83"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109.3 (12.7)</w:t>
            </w:r>
          </w:p>
        </w:tc>
        <w:tc>
          <w:tcPr>
            <w:tcW w:w="1559" w:type="dxa"/>
            <w:tcBorders>
              <w:top w:val="single" w:sz="6" w:space="0" w:color="7F7F7F" w:themeColor="text1" w:themeTint="80"/>
              <w:left w:val="nil"/>
              <w:bottom w:val="nil"/>
              <w:right w:val="nil"/>
            </w:tcBorders>
          </w:tcPr>
          <w:p w14:paraId="351B37FF"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843" w:type="dxa"/>
            <w:tcBorders>
              <w:top w:val="single" w:sz="6" w:space="0" w:color="7F7F7F" w:themeColor="text1" w:themeTint="80"/>
              <w:left w:val="nil"/>
              <w:bottom w:val="nil"/>
              <w:right w:val="nil"/>
            </w:tcBorders>
          </w:tcPr>
          <w:p w14:paraId="703FF465" w14:textId="77777777"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w:t>
            </w:r>
          </w:p>
        </w:tc>
      </w:tr>
      <w:tr w:rsidR="00C37833" w14:paraId="1CD7AD38" w14:textId="77777777" w:rsidTr="5F2FAE35">
        <w:trPr>
          <w:trHeight w:val="300"/>
        </w:trPr>
        <w:tc>
          <w:tcPr>
            <w:tcW w:w="2127" w:type="dxa"/>
            <w:tcBorders>
              <w:top w:val="single" w:sz="6" w:space="0" w:color="7F7F7F" w:themeColor="text1" w:themeTint="80"/>
              <w:left w:val="nil"/>
              <w:bottom w:val="single" w:sz="6" w:space="0" w:color="7F7F7F" w:themeColor="text1" w:themeTint="80"/>
              <w:right w:val="nil"/>
            </w:tcBorders>
          </w:tcPr>
          <w:p w14:paraId="05E53B7E" w14:textId="0312E688" w:rsidR="00F578D4" w:rsidRDefault="00F578D4" w:rsidP="00C37833">
            <w:pPr>
              <w:jc w:val="center"/>
              <w:rPr>
                <w:rFonts w:ascii="Calibri" w:eastAsia="Calibri" w:hAnsi="Calibri" w:cs="Calibri"/>
                <w:color w:val="000000" w:themeColor="text1"/>
                <w:sz w:val="22"/>
                <w:szCs w:val="22"/>
              </w:rPr>
            </w:pPr>
            <w:r w:rsidRPr="1C3C5658">
              <w:rPr>
                <w:rFonts w:ascii="Calibri" w:eastAsia="Calibri" w:hAnsi="Calibri" w:cs="Calibri"/>
                <w:b/>
                <w:bCs/>
                <w:color w:val="000000" w:themeColor="text1"/>
                <w:sz w:val="22"/>
                <w:szCs w:val="22"/>
              </w:rPr>
              <w:t xml:space="preserve">Toronto  </w:t>
            </w:r>
          </w:p>
        </w:tc>
        <w:tc>
          <w:tcPr>
            <w:tcW w:w="1701" w:type="dxa"/>
            <w:tcBorders>
              <w:top w:val="single" w:sz="6" w:space="0" w:color="7F7F7F" w:themeColor="text1" w:themeTint="80"/>
              <w:left w:val="nil"/>
              <w:bottom w:val="single" w:sz="6" w:space="0" w:color="7F7F7F" w:themeColor="text1" w:themeTint="80"/>
              <w:right w:val="nil"/>
            </w:tcBorders>
          </w:tcPr>
          <w:p w14:paraId="46280646"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Clinical </w:t>
            </w:r>
          </w:p>
        </w:tc>
        <w:tc>
          <w:tcPr>
            <w:tcW w:w="1239" w:type="dxa"/>
            <w:tcBorders>
              <w:top w:val="single" w:sz="6" w:space="0" w:color="7F7F7F" w:themeColor="text1" w:themeTint="80"/>
              <w:left w:val="nil"/>
              <w:bottom w:val="single" w:sz="6" w:space="0" w:color="7F7F7F" w:themeColor="text1" w:themeTint="80"/>
              <w:right w:val="nil"/>
            </w:tcBorders>
          </w:tcPr>
          <w:p w14:paraId="0885796F"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Reading </w:t>
            </w:r>
          </w:p>
        </w:tc>
        <w:tc>
          <w:tcPr>
            <w:tcW w:w="1569" w:type="dxa"/>
            <w:tcBorders>
              <w:top w:val="single" w:sz="6" w:space="0" w:color="7F7F7F" w:themeColor="text1" w:themeTint="80"/>
              <w:left w:val="nil"/>
              <w:bottom w:val="single" w:sz="6" w:space="0" w:color="7F7F7F" w:themeColor="text1" w:themeTint="80"/>
              <w:right w:val="nil"/>
            </w:tcBorders>
          </w:tcPr>
          <w:p w14:paraId="03904E2D" w14:textId="24595DDC"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98.42</w:t>
            </w:r>
            <w:r w:rsidR="008A439E">
              <w:t xml:space="preserve"> </w:t>
            </w:r>
            <w:r w:rsidRPr="1C3C5658">
              <w:rPr>
                <w:rFonts w:ascii="Calibri" w:eastAsia="Calibri" w:hAnsi="Calibri" w:cs="Calibri"/>
                <w:color w:val="000000" w:themeColor="text1"/>
                <w:sz w:val="22"/>
                <w:szCs w:val="22"/>
                <w:lang w:val="en-US"/>
              </w:rPr>
              <w:t>(7.87)</w:t>
            </w:r>
          </w:p>
        </w:tc>
        <w:tc>
          <w:tcPr>
            <w:tcW w:w="1569" w:type="dxa"/>
            <w:tcBorders>
              <w:top w:val="single" w:sz="6" w:space="0" w:color="7F7F7F" w:themeColor="text1" w:themeTint="80"/>
              <w:left w:val="nil"/>
              <w:bottom w:val="single" w:sz="6" w:space="0" w:color="7F7F7F" w:themeColor="text1" w:themeTint="80"/>
              <w:right w:val="nil"/>
            </w:tcBorders>
          </w:tcPr>
          <w:p w14:paraId="5213C653" w14:textId="00A02FEA"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95.08</w:t>
            </w:r>
            <w:r w:rsidR="008A439E">
              <w:t xml:space="preserve"> </w:t>
            </w:r>
            <w:r w:rsidRPr="1C3C5658">
              <w:rPr>
                <w:rFonts w:ascii="Calibri" w:eastAsia="Calibri" w:hAnsi="Calibri" w:cs="Calibri"/>
                <w:color w:val="000000" w:themeColor="text1"/>
                <w:sz w:val="22"/>
                <w:szCs w:val="22"/>
                <w:lang w:val="en-US"/>
              </w:rPr>
              <w:t>(9.03)</w:t>
            </w:r>
          </w:p>
        </w:tc>
        <w:tc>
          <w:tcPr>
            <w:tcW w:w="1691" w:type="dxa"/>
            <w:tcBorders>
              <w:top w:val="single" w:sz="6" w:space="0" w:color="7F7F7F" w:themeColor="text1" w:themeTint="80"/>
              <w:left w:val="nil"/>
              <w:bottom w:val="single" w:sz="6" w:space="0" w:color="7F7F7F" w:themeColor="text1" w:themeTint="80"/>
              <w:right w:val="nil"/>
            </w:tcBorders>
          </w:tcPr>
          <w:p w14:paraId="5BAC3DE9" w14:textId="4458C4ED"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104.33</w:t>
            </w:r>
            <w:r w:rsidR="008A439E">
              <w:t xml:space="preserve"> </w:t>
            </w:r>
            <w:r w:rsidRPr="1C3C5658">
              <w:rPr>
                <w:rFonts w:ascii="Calibri" w:eastAsia="Calibri" w:hAnsi="Calibri" w:cs="Calibri"/>
                <w:color w:val="000000" w:themeColor="text1"/>
                <w:sz w:val="22"/>
                <w:szCs w:val="22"/>
                <w:lang w:val="en-US"/>
              </w:rPr>
              <w:t>(8.74)</w:t>
            </w:r>
          </w:p>
        </w:tc>
        <w:tc>
          <w:tcPr>
            <w:tcW w:w="1843" w:type="dxa"/>
            <w:tcBorders>
              <w:top w:val="single" w:sz="6" w:space="0" w:color="7F7F7F" w:themeColor="text1" w:themeTint="80"/>
              <w:left w:val="nil"/>
              <w:bottom w:val="single" w:sz="6" w:space="0" w:color="7F7F7F" w:themeColor="text1" w:themeTint="80"/>
              <w:right w:val="nil"/>
            </w:tcBorders>
          </w:tcPr>
          <w:p w14:paraId="79CFF2BA" w14:textId="7FF5A07C"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101.38</w:t>
            </w:r>
            <w:r w:rsidR="008A439E">
              <w:t xml:space="preserve"> </w:t>
            </w:r>
            <w:r w:rsidRPr="1C3C5658">
              <w:rPr>
                <w:rFonts w:ascii="Calibri" w:eastAsia="Calibri" w:hAnsi="Calibri" w:cs="Calibri"/>
                <w:color w:val="000000" w:themeColor="text1"/>
                <w:sz w:val="22"/>
                <w:szCs w:val="22"/>
                <w:lang w:val="en-US"/>
              </w:rPr>
              <w:t>(9.07)</w:t>
            </w:r>
          </w:p>
        </w:tc>
        <w:tc>
          <w:tcPr>
            <w:tcW w:w="1559" w:type="dxa"/>
            <w:tcBorders>
              <w:top w:val="single" w:sz="6" w:space="0" w:color="7F7F7F" w:themeColor="text1" w:themeTint="80"/>
              <w:left w:val="nil"/>
              <w:bottom w:val="single" w:sz="6" w:space="0" w:color="7F7F7F" w:themeColor="text1" w:themeTint="80"/>
              <w:right w:val="nil"/>
            </w:tcBorders>
          </w:tcPr>
          <w:p w14:paraId="399FB6AB" w14:textId="77777777" w:rsidR="00F578D4" w:rsidRDefault="00F578D4" w:rsidP="00AC1D62">
            <w:pPr>
              <w:jc w:val="center"/>
              <w:rPr>
                <w:rFonts w:ascii="Calibri" w:eastAsia="Calibri" w:hAnsi="Calibri" w:cs="Calibri"/>
                <w:color w:val="000000" w:themeColor="text1"/>
                <w:sz w:val="22"/>
                <w:szCs w:val="22"/>
                <w:lang w:val="en-US"/>
              </w:rPr>
            </w:pPr>
            <w:r w:rsidRPr="10477AA3">
              <w:rPr>
                <w:rFonts w:ascii="Calibri" w:eastAsia="Calibri" w:hAnsi="Calibri" w:cs="Calibri"/>
                <w:color w:val="000000" w:themeColor="text1"/>
                <w:sz w:val="22"/>
                <w:szCs w:val="22"/>
                <w:lang w:val="en-US"/>
              </w:rPr>
              <w:t>3409 (679)</w:t>
            </w:r>
          </w:p>
        </w:tc>
        <w:tc>
          <w:tcPr>
            <w:tcW w:w="1843" w:type="dxa"/>
            <w:tcBorders>
              <w:top w:val="single" w:sz="6" w:space="0" w:color="7F7F7F" w:themeColor="text1" w:themeTint="80"/>
              <w:left w:val="nil"/>
              <w:bottom w:val="single" w:sz="6" w:space="0" w:color="7F7F7F" w:themeColor="text1" w:themeTint="80"/>
              <w:right w:val="nil"/>
            </w:tcBorders>
          </w:tcPr>
          <w:p w14:paraId="3F2F8394"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3553 (553)</w:t>
            </w:r>
          </w:p>
        </w:tc>
      </w:tr>
      <w:tr w:rsidR="00C37833" w14:paraId="31C545AF" w14:textId="77777777" w:rsidTr="5F2FAE35">
        <w:trPr>
          <w:trHeight w:val="300"/>
        </w:trPr>
        <w:tc>
          <w:tcPr>
            <w:tcW w:w="2127" w:type="dxa"/>
            <w:tcBorders>
              <w:top w:val="single" w:sz="6" w:space="0" w:color="7F7F7F" w:themeColor="text1" w:themeTint="80"/>
              <w:left w:val="nil"/>
              <w:bottom w:val="single" w:sz="4" w:space="0" w:color="auto"/>
              <w:right w:val="nil"/>
            </w:tcBorders>
          </w:tcPr>
          <w:p w14:paraId="191CF8C4" w14:textId="1285FEFB" w:rsidR="00F578D4" w:rsidRDefault="003B1A1D" w:rsidP="00AC1D62">
            <w:pPr>
              <w:jc w:val="center"/>
              <w:rPr>
                <w:rFonts w:ascii="Calibri" w:eastAsia="Calibri" w:hAnsi="Calibri" w:cs="Calibri"/>
                <w:b/>
                <w:bCs/>
                <w:color w:val="000000" w:themeColor="text1"/>
                <w:sz w:val="17"/>
                <w:szCs w:val="17"/>
              </w:rPr>
            </w:pPr>
            <w:r>
              <w:rPr>
                <w:rFonts w:ascii="Calibri" w:eastAsia="Calibri" w:hAnsi="Calibri" w:cs="Calibri"/>
                <w:b/>
                <w:bCs/>
                <w:color w:val="000000" w:themeColor="text1"/>
                <w:sz w:val="22"/>
                <w:szCs w:val="22"/>
              </w:rPr>
              <w:t>UKDYS</w:t>
            </w:r>
            <w:r w:rsidR="008A439E">
              <w:rPr>
                <w:rFonts w:ascii="Calibri" w:eastAsia="Calibri" w:hAnsi="Calibri" w:cs="Calibri"/>
                <w:b/>
                <w:bCs/>
                <w:color w:val="000000" w:themeColor="text1"/>
                <w:sz w:val="22"/>
                <w:szCs w:val="22"/>
                <w:vertAlign w:val="superscript"/>
              </w:rPr>
              <w:t>1</w:t>
            </w:r>
          </w:p>
        </w:tc>
        <w:tc>
          <w:tcPr>
            <w:tcW w:w="1701" w:type="dxa"/>
            <w:tcBorders>
              <w:top w:val="single" w:sz="6" w:space="0" w:color="7F7F7F" w:themeColor="text1" w:themeTint="80"/>
              <w:left w:val="nil"/>
              <w:bottom w:val="single" w:sz="4" w:space="0" w:color="auto"/>
              <w:right w:val="nil"/>
            </w:tcBorders>
          </w:tcPr>
          <w:p w14:paraId="07802C42"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Clinical </w:t>
            </w:r>
          </w:p>
        </w:tc>
        <w:tc>
          <w:tcPr>
            <w:tcW w:w="1239" w:type="dxa"/>
            <w:tcBorders>
              <w:top w:val="single" w:sz="6" w:space="0" w:color="7F7F7F" w:themeColor="text1" w:themeTint="80"/>
              <w:left w:val="nil"/>
              <w:bottom w:val="single" w:sz="4" w:space="0" w:color="auto"/>
              <w:right w:val="nil"/>
            </w:tcBorders>
          </w:tcPr>
          <w:p w14:paraId="5B2E842A"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Reading </w:t>
            </w:r>
          </w:p>
        </w:tc>
        <w:tc>
          <w:tcPr>
            <w:tcW w:w="1569" w:type="dxa"/>
            <w:tcBorders>
              <w:top w:val="single" w:sz="6" w:space="0" w:color="7F7F7F" w:themeColor="text1" w:themeTint="80"/>
              <w:left w:val="nil"/>
              <w:bottom w:val="single" w:sz="4" w:space="0" w:color="auto"/>
              <w:right w:val="nil"/>
            </w:tcBorders>
          </w:tcPr>
          <w:p w14:paraId="22913532"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569" w:type="dxa"/>
            <w:tcBorders>
              <w:top w:val="single" w:sz="6" w:space="0" w:color="7F7F7F" w:themeColor="text1" w:themeTint="80"/>
              <w:left w:val="nil"/>
              <w:bottom w:val="single" w:sz="4" w:space="0" w:color="auto"/>
              <w:right w:val="nil"/>
            </w:tcBorders>
          </w:tcPr>
          <w:p w14:paraId="37B29542"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691" w:type="dxa"/>
            <w:tcBorders>
              <w:top w:val="single" w:sz="6" w:space="0" w:color="7F7F7F" w:themeColor="text1" w:themeTint="80"/>
              <w:left w:val="nil"/>
              <w:bottom w:val="single" w:sz="4" w:space="0" w:color="auto"/>
              <w:right w:val="nil"/>
            </w:tcBorders>
          </w:tcPr>
          <w:p w14:paraId="5914D380" w14:textId="5F8D39AB" w:rsidR="00F578D4" w:rsidRDefault="00F578D4" w:rsidP="00AC1D62">
            <w:pPr>
              <w:spacing w:line="259" w:lineRule="auto"/>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0.16 (0.57)</w:t>
            </w:r>
            <w:r w:rsidR="00072C85">
              <w:rPr>
                <w:rFonts w:ascii="Calibri" w:eastAsia="Calibri" w:hAnsi="Calibri" w:cs="Calibri"/>
                <w:color w:val="000000" w:themeColor="text1"/>
                <w:sz w:val="22"/>
                <w:szCs w:val="22"/>
              </w:rPr>
              <w:t>*</w:t>
            </w:r>
          </w:p>
        </w:tc>
        <w:tc>
          <w:tcPr>
            <w:tcW w:w="1843" w:type="dxa"/>
            <w:tcBorders>
              <w:top w:val="single" w:sz="6" w:space="0" w:color="7F7F7F" w:themeColor="text1" w:themeTint="80"/>
              <w:left w:val="nil"/>
              <w:bottom w:val="single" w:sz="4" w:space="0" w:color="auto"/>
              <w:right w:val="nil"/>
            </w:tcBorders>
          </w:tcPr>
          <w:p w14:paraId="0F02BD21" w14:textId="718C0D07" w:rsidR="00F578D4" w:rsidRDefault="00F578D4" w:rsidP="00AC1D62">
            <w:pPr>
              <w:spacing w:line="259" w:lineRule="auto"/>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0.42 (0.75)</w:t>
            </w:r>
            <w:r w:rsidR="005E647F">
              <w:rPr>
                <w:rFonts w:ascii="Calibri" w:eastAsia="Calibri" w:hAnsi="Calibri" w:cs="Calibri"/>
                <w:color w:val="000000" w:themeColor="text1"/>
                <w:sz w:val="22"/>
                <w:szCs w:val="22"/>
              </w:rPr>
              <w:t>*</w:t>
            </w:r>
          </w:p>
        </w:tc>
        <w:tc>
          <w:tcPr>
            <w:tcW w:w="1559" w:type="dxa"/>
            <w:tcBorders>
              <w:top w:val="single" w:sz="6" w:space="0" w:color="7F7F7F" w:themeColor="text1" w:themeTint="80"/>
              <w:left w:val="nil"/>
              <w:bottom w:val="single" w:sz="4" w:space="0" w:color="auto"/>
              <w:right w:val="nil"/>
            </w:tcBorders>
          </w:tcPr>
          <w:p w14:paraId="771E567A"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843" w:type="dxa"/>
            <w:tcBorders>
              <w:top w:val="single" w:sz="6" w:space="0" w:color="7F7F7F" w:themeColor="text1" w:themeTint="80"/>
              <w:left w:val="nil"/>
              <w:bottom w:val="single" w:sz="4" w:space="0" w:color="auto"/>
              <w:right w:val="nil"/>
            </w:tcBorders>
          </w:tcPr>
          <w:p w14:paraId="61E88F10" w14:textId="77777777"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w:t>
            </w:r>
          </w:p>
        </w:tc>
      </w:tr>
      <w:tr w:rsidR="00C37833" w14:paraId="221A01B6" w14:textId="77777777" w:rsidTr="5F2FAE35">
        <w:trPr>
          <w:trHeight w:val="300"/>
        </w:trPr>
        <w:tc>
          <w:tcPr>
            <w:tcW w:w="2127" w:type="dxa"/>
            <w:tcBorders>
              <w:top w:val="single" w:sz="4" w:space="0" w:color="auto"/>
              <w:left w:val="nil"/>
              <w:bottom w:val="single" w:sz="6" w:space="0" w:color="7F7F7F" w:themeColor="text1" w:themeTint="80"/>
              <w:right w:val="nil"/>
            </w:tcBorders>
          </w:tcPr>
          <w:p w14:paraId="780F217D" w14:textId="3046E95B" w:rsidR="00F578D4" w:rsidRDefault="00C37833" w:rsidP="00C37833">
            <w:pPr>
              <w:jc w:val="cente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York Reading</w:t>
            </w:r>
            <w:r w:rsidR="00F578D4" w:rsidRPr="10477AA3">
              <w:rPr>
                <w:rFonts w:ascii="Calibri" w:eastAsia="Calibri" w:hAnsi="Calibri" w:cs="Calibri"/>
                <w:b/>
                <w:bCs/>
                <w:color w:val="000000" w:themeColor="text1"/>
                <w:sz w:val="22"/>
                <w:szCs w:val="22"/>
              </w:rPr>
              <w:t xml:space="preserve"> </w:t>
            </w:r>
          </w:p>
        </w:tc>
        <w:tc>
          <w:tcPr>
            <w:tcW w:w="1701" w:type="dxa"/>
            <w:tcBorders>
              <w:top w:val="single" w:sz="4" w:space="0" w:color="auto"/>
              <w:left w:val="nil"/>
              <w:bottom w:val="single" w:sz="6" w:space="0" w:color="7F7F7F" w:themeColor="text1" w:themeTint="80"/>
              <w:right w:val="nil"/>
            </w:tcBorders>
          </w:tcPr>
          <w:p w14:paraId="7784AD38"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Clinical </w:t>
            </w:r>
          </w:p>
        </w:tc>
        <w:tc>
          <w:tcPr>
            <w:tcW w:w="1239" w:type="dxa"/>
            <w:tcBorders>
              <w:top w:val="single" w:sz="4" w:space="0" w:color="auto"/>
              <w:left w:val="nil"/>
              <w:bottom w:val="single" w:sz="6" w:space="0" w:color="7F7F7F" w:themeColor="text1" w:themeTint="80"/>
              <w:right w:val="nil"/>
            </w:tcBorders>
          </w:tcPr>
          <w:p w14:paraId="37F64471"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Reading </w:t>
            </w:r>
          </w:p>
        </w:tc>
        <w:tc>
          <w:tcPr>
            <w:tcW w:w="1569" w:type="dxa"/>
            <w:tcBorders>
              <w:top w:val="single" w:sz="4" w:space="0" w:color="auto"/>
              <w:left w:val="nil"/>
              <w:bottom w:val="single" w:sz="6" w:space="0" w:color="7F7F7F" w:themeColor="text1" w:themeTint="80"/>
              <w:right w:val="nil"/>
            </w:tcBorders>
            <w:vAlign w:val="center"/>
          </w:tcPr>
          <w:p w14:paraId="7DAC69B4"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569" w:type="dxa"/>
            <w:tcBorders>
              <w:top w:val="single" w:sz="4" w:space="0" w:color="auto"/>
              <w:left w:val="nil"/>
              <w:bottom w:val="single" w:sz="6" w:space="0" w:color="7F7F7F" w:themeColor="text1" w:themeTint="80"/>
              <w:right w:val="nil"/>
            </w:tcBorders>
            <w:vAlign w:val="center"/>
          </w:tcPr>
          <w:p w14:paraId="5A60299B"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691" w:type="dxa"/>
            <w:tcBorders>
              <w:top w:val="single" w:sz="4" w:space="0" w:color="auto"/>
              <w:left w:val="nil"/>
              <w:bottom w:val="single" w:sz="6" w:space="0" w:color="7F7F7F" w:themeColor="text1" w:themeTint="80"/>
              <w:right w:val="nil"/>
            </w:tcBorders>
            <w:vAlign w:val="center"/>
          </w:tcPr>
          <w:p w14:paraId="36290C08" w14:textId="54093554"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97</w:t>
            </w:r>
            <w:r w:rsidR="00C37833">
              <w:t xml:space="preserve"> </w:t>
            </w:r>
            <w:r w:rsidRPr="1C3C5658">
              <w:rPr>
                <w:rFonts w:ascii="Calibri" w:eastAsia="Calibri" w:hAnsi="Calibri" w:cs="Calibri"/>
                <w:color w:val="000000" w:themeColor="text1"/>
                <w:sz w:val="22"/>
                <w:szCs w:val="22"/>
                <w:lang w:val="en-US"/>
              </w:rPr>
              <w:t>(9.39)</w:t>
            </w:r>
          </w:p>
        </w:tc>
        <w:tc>
          <w:tcPr>
            <w:tcW w:w="1843" w:type="dxa"/>
            <w:tcBorders>
              <w:top w:val="single" w:sz="4" w:space="0" w:color="auto"/>
              <w:left w:val="nil"/>
              <w:bottom w:val="single" w:sz="6" w:space="0" w:color="7F7F7F" w:themeColor="text1" w:themeTint="80"/>
              <w:right w:val="nil"/>
            </w:tcBorders>
            <w:vAlign w:val="center"/>
          </w:tcPr>
          <w:p w14:paraId="5FBF57E3" w14:textId="6477470C" w:rsidR="00F578D4" w:rsidRDefault="00F578D4" w:rsidP="00C37833">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102</w:t>
            </w:r>
            <w:r w:rsidR="00C37833">
              <w:t xml:space="preserve"> </w:t>
            </w:r>
            <w:r w:rsidRPr="1C3C5658">
              <w:rPr>
                <w:rFonts w:ascii="Calibri" w:eastAsia="Calibri" w:hAnsi="Calibri" w:cs="Calibri"/>
                <w:color w:val="000000" w:themeColor="text1"/>
                <w:sz w:val="22"/>
                <w:szCs w:val="22"/>
                <w:lang w:val="en-US"/>
              </w:rPr>
              <w:t>(10.6)</w:t>
            </w:r>
          </w:p>
        </w:tc>
        <w:tc>
          <w:tcPr>
            <w:tcW w:w="1559" w:type="dxa"/>
            <w:tcBorders>
              <w:top w:val="single" w:sz="4" w:space="0" w:color="auto"/>
              <w:left w:val="nil"/>
              <w:bottom w:val="single" w:sz="6" w:space="0" w:color="7F7F7F" w:themeColor="text1" w:themeTint="80"/>
              <w:right w:val="nil"/>
            </w:tcBorders>
          </w:tcPr>
          <w:p w14:paraId="4A9B7628"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843" w:type="dxa"/>
            <w:tcBorders>
              <w:top w:val="single" w:sz="4" w:space="0" w:color="auto"/>
              <w:left w:val="nil"/>
              <w:bottom w:val="single" w:sz="6" w:space="0" w:color="7F7F7F" w:themeColor="text1" w:themeTint="80"/>
              <w:right w:val="nil"/>
            </w:tcBorders>
          </w:tcPr>
          <w:p w14:paraId="4910BC70" w14:textId="77777777"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w:t>
            </w:r>
          </w:p>
        </w:tc>
      </w:tr>
      <w:tr w:rsidR="00C37833" w14:paraId="139789B0" w14:textId="77777777" w:rsidTr="5F2FAE35">
        <w:trPr>
          <w:trHeight w:val="300"/>
        </w:trPr>
        <w:tc>
          <w:tcPr>
            <w:tcW w:w="2127" w:type="dxa"/>
            <w:tcBorders>
              <w:top w:val="single" w:sz="6" w:space="0" w:color="7F7F7F" w:themeColor="text1" w:themeTint="80"/>
              <w:left w:val="nil"/>
              <w:bottom w:val="single" w:sz="6" w:space="0" w:color="7F7F7F" w:themeColor="text1" w:themeTint="80"/>
              <w:right w:val="nil"/>
            </w:tcBorders>
          </w:tcPr>
          <w:p w14:paraId="5AC0619B" w14:textId="132D350D" w:rsidR="00F578D4" w:rsidRDefault="00F578D4" w:rsidP="00C37833">
            <w:pPr>
              <w:jc w:val="center"/>
              <w:rPr>
                <w:rFonts w:ascii="Calibri" w:eastAsia="Calibri" w:hAnsi="Calibri" w:cs="Calibri"/>
                <w:color w:val="000000" w:themeColor="text1"/>
                <w:sz w:val="22"/>
                <w:szCs w:val="22"/>
              </w:rPr>
            </w:pPr>
            <w:r w:rsidRPr="10477AA3">
              <w:rPr>
                <w:rFonts w:ascii="Calibri" w:eastAsia="Calibri" w:hAnsi="Calibri" w:cs="Calibri"/>
                <w:b/>
                <w:bCs/>
                <w:color w:val="000000" w:themeColor="text1"/>
                <w:sz w:val="22"/>
                <w:szCs w:val="22"/>
              </w:rPr>
              <w:t xml:space="preserve">York Language </w:t>
            </w:r>
          </w:p>
        </w:tc>
        <w:tc>
          <w:tcPr>
            <w:tcW w:w="1701" w:type="dxa"/>
            <w:tcBorders>
              <w:top w:val="single" w:sz="6" w:space="0" w:color="7F7F7F" w:themeColor="text1" w:themeTint="80"/>
              <w:left w:val="nil"/>
              <w:bottom w:val="single" w:sz="6" w:space="0" w:color="7F7F7F" w:themeColor="text1" w:themeTint="80"/>
              <w:right w:val="nil"/>
            </w:tcBorders>
          </w:tcPr>
          <w:p w14:paraId="216D63E2"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Clinical </w:t>
            </w:r>
          </w:p>
        </w:tc>
        <w:tc>
          <w:tcPr>
            <w:tcW w:w="1239" w:type="dxa"/>
            <w:tcBorders>
              <w:top w:val="single" w:sz="6" w:space="0" w:color="7F7F7F" w:themeColor="text1" w:themeTint="80"/>
              <w:left w:val="nil"/>
              <w:bottom w:val="single" w:sz="6" w:space="0" w:color="7F7F7F" w:themeColor="text1" w:themeTint="80"/>
              <w:right w:val="nil"/>
            </w:tcBorders>
          </w:tcPr>
          <w:p w14:paraId="7C9D9024" w14:textId="77777777" w:rsidR="00F578D4" w:rsidRDefault="00F578D4" w:rsidP="00AC1D62">
            <w:pPr>
              <w:jc w:val="center"/>
              <w:rPr>
                <w:rFonts w:ascii="Calibri" w:eastAsia="Calibri" w:hAnsi="Calibri" w:cs="Calibri"/>
                <w:color w:val="000000" w:themeColor="text1"/>
                <w:sz w:val="22"/>
                <w:szCs w:val="22"/>
              </w:rPr>
            </w:pPr>
            <w:r w:rsidRPr="10477AA3">
              <w:rPr>
                <w:rFonts w:ascii="Calibri" w:eastAsia="Calibri" w:hAnsi="Calibri" w:cs="Calibri"/>
                <w:color w:val="000000" w:themeColor="text1"/>
                <w:sz w:val="22"/>
                <w:szCs w:val="22"/>
              </w:rPr>
              <w:t xml:space="preserve">Language </w:t>
            </w:r>
          </w:p>
        </w:tc>
        <w:tc>
          <w:tcPr>
            <w:tcW w:w="1569" w:type="dxa"/>
            <w:tcBorders>
              <w:top w:val="single" w:sz="6" w:space="0" w:color="7F7F7F" w:themeColor="text1" w:themeTint="80"/>
              <w:left w:val="nil"/>
              <w:bottom w:val="single" w:sz="6" w:space="0" w:color="7F7F7F" w:themeColor="text1" w:themeTint="80"/>
              <w:right w:val="nil"/>
            </w:tcBorders>
            <w:vAlign w:val="center"/>
          </w:tcPr>
          <w:p w14:paraId="43AFBA60" w14:textId="77777777"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w:t>
            </w:r>
          </w:p>
        </w:tc>
        <w:tc>
          <w:tcPr>
            <w:tcW w:w="1569" w:type="dxa"/>
            <w:tcBorders>
              <w:top w:val="single" w:sz="6" w:space="0" w:color="7F7F7F" w:themeColor="text1" w:themeTint="80"/>
              <w:left w:val="nil"/>
              <w:bottom w:val="single" w:sz="6" w:space="0" w:color="7F7F7F" w:themeColor="text1" w:themeTint="80"/>
              <w:right w:val="nil"/>
            </w:tcBorders>
            <w:vAlign w:val="center"/>
          </w:tcPr>
          <w:p w14:paraId="478DD41C"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691" w:type="dxa"/>
            <w:tcBorders>
              <w:top w:val="single" w:sz="6" w:space="0" w:color="7F7F7F" w:themeColor="text1" w:themeTint="80"/>
              <w:left w:val="nil"/>
              <w:bottom w:val="single" w:sz="6" w:space="0" w:color="7F7F7F" w:themeColor="text1" w:themeTint="80"/>
              <w:right w:val="nil"/>
            </w:tcBorders>
            <w:vAlign w:val="center"/>
          </w:tcPr>
          <w:p w14:paraId="270F0AD8" w14:textId="2438EA28"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83.3</w:t>
            </w:r>
            <w:r w:rsidR="00C37833">
              <w:t xml:space="preserve"> </w:t>
            </w:r>
            <w:r w:rsidRPr="1C3C5658">
              <w:rPr>
                <w:rFonts w:ascii="Calibri" w:eastAsia="Calibri" w:hAnsi="Calibri" w:cs="Calibri"/>
                <w:color w:val="000000" w:themeColor="text1"/>
                <w:sz w:val="22"/>
                <w:szCs w:val="22"/>
              </w:rPr>
              <w:t>(14.3)</w:t>
            </w:r>
          </w:p>
        </w:tc>
        <w:tc>
          <w:tcPr>
            <w:tcW w:w="1843" w:type="dxa"/>
            <w:tcBorders>
              <w:top w:val="single" w:sz="6" w:space="0" w:color="7F7F7F" w:themeColor="text1" w:themeTint="80"/>
              <w:left w:val="nil"/>
              <w:bottom w:val="single" w:sz="6" w:space="0" w:color="7F7F7F" w:themeColor="text1" w:themeTint="80"/>
              <w:right w:val="nil"/>
            </w:tcBorders>
            <w:vAlign w:val="center"/>
          </w:tcPr>
          <w:p w14:paraId="071FBDB0" w14:textId="77777777"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89.7 (14.1)</w:t>
            </w:r>
          </w:p>
        </w:tc>
        <w:tc>
          <w:tcPr>
            <w:tcW w:w="1559" w:type="dxa"/>
            <w:tcBorders>
              <w:top w:val="single" w:sz="6" w:space="0" w:color="7F7F7F" w:themeColor="text1" w:themeTint="80"/>
              <w:left w:val="nil"/>
              <w:bottom w:val="single" w:sz="6" w:space="0" w:color="7F7F7F" w:themeColor="text1" w:themeTint="80"/>
              <w:right w:val="nil"/>
            </w:tcBorders>
          </w:tcPr>
          <w:p w14:paraId="67BCCBC5" w14:textId="77777777" w:rsidR="00F578D4" w:rsidRDefault="00F578D4" w:rsidP="00AC1D62">
            <w:pPr>
              <w:jc w:val="center"/>
              <w:rPr>
                <w:rFonts w:ascii="Calibri" w:eastAsia="Calibri" w:hAnsi="Calibri" w:cs="Calibri"/>
                <w:color w:val="000000" w:themeColor="text1"/>
                <w:sz w:val="22"/>
                <w:szCs w:val="22"/>
                <w:lang w:val="en-US"/>
              </w:rPr>
            </w:pPr>
            <w:r w:rsidRPr="1C3C5658">
              <w:rPr>
                <w:rFonts w:ascii="Calibri" w:eastAsia="Calibri" w:hAnsi="Calibri" w:cs="Calibri"/>
                <w:color w:val="000000" w:themeColor="text1"/>
                <w:sz w:val="22"/>
                <w:szCs w:val="22"/>
                <w:lang w:val="en-US"/>
              </w:rPr>
              <w:t>/</w:t>
            </w:r>
          </w:p>
        </w:tc>
        <w:tc>
          <w:tcPr>
            <w:tcW w:w="1843" w:type="dxa"/>
            <w:tcBorders>
              <w:top w:val="single" w:sz="6" w:space="0" w:color="7F7F7F" w:themeColor="text1" w:themeTint="80"/>
              <w:left w:val="nil"/>
              <w:bottom w:val="single" w:sz="6" w:space="0" w:color="7F7F7F" w:themeColor="text1" w:themeTint="80"/>
              <w:right w:val="nil"/>
            </w:tcBorders>
          </w:tcPr>
          <w:p w14:paraId="50E245AB" w14:textId="77777777" w:rsidR="00F578D4" w:rsidRDefault="00F578D4" w:rsidP="00AC1D62">
            <w:pPr>
              <w:jc w:val="center"/>
              <w:rPr>
                <w:rFonts w:ascii="Calibri" w:eastAsia="Calibri" w:hAnsi="Calibri" w:cs="Calibri"/>
                <w:color w:val="000000" w:themeColor="text1"/>
                <w:sz w:val="22"/>
                <w:szCs w:val="22"/>
              </w:rPr>
            </w:pPr>
            <w:r w:rsidRPr="1C3C5658">
              <w:rPr>
                <w:rFonts w:ascii="Calibri" w:eastAsia="Calibri" w:hAnsi="Calibri" w:cs="Calibri"/>
                <w:color w:val="000000" w:themeColor="text1"/>
                <w:sz w:val="22"/>
                <w:szCs w:val="22"/>
              </w:rPr>
              <w:t>/</w:t>
            </w:r>
          </w:p>
        </w:tc>
      </w:tr>
    </w:tbl>
    <w:p w14:paraId="3789F33D" w14:textId="77777777" w:rsidR="00F578D4" w:rsidRPr="00BC1375" w:rsidRDefault="00F578D4" w:rsidP="00F578D4">
      <w:pPr>
        <w:spacing w:line="360" w:lineRule="auto"/>
        <w:rPr>
          <w:rFonts w:ascii="Calibri" w:eastAsia="Calibri" w:hAnsi="Calibri" w:cs="Calibri"/>
          <w:color w:val="FFFFFF" w:themeColor="background1"/>
          <w:sz w:val="22"/>
          <w:szCs w:val="22"/>
          <w:lang w:val="en-US"/>
        </w:rPr>
      </w:pPr>
      <w:r w:rsidRPr="7C2D98E8">
        <w:rPr>
          <w:rFonts w:ascii="Calibri" w:eastAsia="Calibri" w:hAnsi="Calibri" w:cs="Calibri"/>
          <w:color w:val="FFFFFF" w:themeColor="background1"/>
          <w:sz w:val="22"/>
          <w:szCs w:val="22"/>
          <w:lang w:val="en-US"/>
        </w:rPr>
        <w:t>NA = not available; NRH = Non-right handers</w:t>
      </w:r>
      <w:r w:rsidRPr="10477AA3">
        <w:rPr>
          <w:rFonts w:ascii="Calibri" w:eastAsia="Calibri" w:hAnsi="Calibri" w:cs="Calibri"/>
          <w:color w:val="FFFFFF" w:themeColor="background1"/>
          <w:sz w:val="22"/>
          <w:szCs w:val="22"/>
          <w:lang w:val="en-US"/>
        </w:rPr>
        <w:t xml:space="preserve"> cases</w:t>
      </w:r>
      <w:r w:rsidRPr="7C2D98E8">
        <w:rPr>
          <w:rFonts w:ascii="Calibri" w:eastAsia="Calibri" w:hAnsi="Calibri" w:cs="Calibri"/>
          <w:color w:val="FFFFFF" w:themeColor="background1"/>
          <w:sz w:val="22"/>
          <w:szCs w:val="22"/>
          <w:lang w:val="en-US"/>
        </w:rPr>
        <w:t>; RH = Right handers</w:t>
      </w:r>
      <w:r w:rsidRPr="10477AA3">
        <w:rPr>
          <w:rFonts w:ascii="Calibri" w:eastAsia="Calibri" w:hAnsi="Calibri" w:cs="Calibri"/>
          <w:color w:val="FFFFFF" w:themeColor="background1"/>
          <w:sz w:val="22"/>
          <w:szCs w:val="22"/>
          <w:lang w:val="en-US"/>
        </w:rPr>
        <w:t xml:space="preserve"> cases.</w:t>
      </w:r>
    </w:p>
    <w:p w14:paraId="0BBEBF10" w14:textId="2F98E473" w:rsidR="00274D30" w:rsidRDefault="00274D30" w:rsidP="00F578D4">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See Supplementary Table S1 for details on the tests used for IQ assessment</w:t>
      </w:r>
      <w:r w:rsidR="00BE58E9">
        <w:rPr>
          <w:rFonts w:ascii="Calibri" w:eastAsia="Calibri" w:hAnsi="Calibri" w:cs="Calibri"/>
          <w:color w:val="000000" w:themeColor="text1"/>
          <w:sz w:val="22"/>
          <w:szCs w:val="22"/>
        </w:rPr>
        <w:t>.</w:t>
      </w:r>
    </w:p>
    <w:p w14:paraId="42453DE2" w14:textId="503B3DCD" w:rsidR="00F578D4" w:rsidRPr="00A9018C" w:rsidRDefault="00274D30" w:rsidP="00F578D4">
      <w:pP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C</w:t>
      </w:r>
      <w:r w:rsidR="00F578D4" w:rsidRPr="7C2D98E8">
        <w:rPr>
          <w:rFonts w:ascii="Calibri" w:eastAsia="Calibri" w:hAnsi="Calibri" w:cs="Calibri"/>
          <w:color w:val="000000" w:themeColor="text1"/>
          <w:sz w:val="22"/>
          <w:szCs w:val="22"/>
        </w:rPr>
        <w:t xml:space="preserve">omorbid individuals </w:t>
      </w:r>
      <w:r>
        <w:rPr>
          <w:rFonts w:ascii="Calibri" w:eastAsia="Calibri" w:hAnsi="Calibri" w:cs="Calibri"/>
          <w:color w:val="000000" w:themeColor="text1"/>
          <w:sz w:val="22"/>
          <w:szCs w:val="22"/>
        </w:rPr>
        <w:t>have been assigned to</w:t>
      </w:r>
      <w:r w:rsidR="00F578D4" w:rsidRPr="7C2D98E8">
        <w:rPr>
          <w:rFonts w:ascii="Calibri" w:eastAsia="Calibri" w:hAnsi="Calibri" w:cs="Calibri"/>
          <w:color w:val="000000" w:themeColor="text1"/>
          <w:sz w:val="22"/>
          <w:szCs w:val="22"/>
        </w:rPr>
        <w:t xml:space="preserve"> language impairment group.</w:t>
      </w:r>
    </w:p>
    <w:p w14:paraId="7563CEF4" w14:textId="25BB7E8F" w:rsidR="00F578D4" w:rsidRDefault="008A439E" w:rsidP="00F578D4">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F578D4" w:rsidRPr="1C3C5658">
        <w:rPr>
          <w:rFonts w:ascii="Calibri" w:eastAsia="Calibri" w:hAnsi="Calibri" w:cs="Calibri"/>
          <w:color w:val="000000" w:themeColor="text1"/>
          <w:sz w:val="22"/>
          <w:szCs w:val="22"/>
        </w:rPr>
        <w:t>Significant difference between NRH and RH cases</w:t>
      </w:r>
      <w:r w:rsidR="00C37833">
        <w:rPr>
          <w:rFonts w:ascii="Calibri" w:eastAsia="Calibri" w:hAnsi="Calibri" w:cs="Calibri"/>
          <w:color w:val="000000" w:themeColor="text1"/>
          <w:sz w:val="22"/>
          <w:szCs w:val="22"/>
        </w:rPr>
        <w:t xml:space="preserve">; </w:t>
      </w:r>
      <w:r w:rsidR="00F578D4" w:rsidRPr="1C3C5658">
        <w:rPr>
          <w:rFonts w:ascii="Calibri" w:eastAsia="Calibri" w:hAnsi="Calibri" w:cs="Calibri"/>
          <w:color w:val="000000" w:themeColor="text1"/>
          <w:sz w:val="22"/>
          <w:szCs w:val="22"/>
        </w:rPr>
        <w:t>t-test</w:t>
      </w:r>
      <w:r w:rsidR="00C37833">
        <w:rPr>
          <w:rFonts w:ascii="Calibri" w:eastAsia="Calibri" w:hAnsi="Calibri" w:cs="Calibri"/>
          <w:color w:val="000000" w:themeColor="text1"/>
          <w:sz w:val="22"/>
          <w:szCs w:val="22"/>
        </w:rPr>
        <w:t xml:space="preserve">, </w:t>
      </w:r>
      <w:r w:rsidR="00C37833" w:rsidRPr="00FD42F2">
        <w:rPr>
          <w:rFonts w:ascii="Calibri" w:eastAsia="Calibri" w:hAnsi="Calibri" w:cs="Calibri"/>
          <w:i/>
          <w:color w:val="000000" w:themeColor="text1"/>
          <w:sz w:val="22"/>
          <w:szCs w:val="22"/>
        </w:rPr>
        <w:t>p</w:t>
      </w:r>
      <w:r w:rsidR="00C37833">
        <w:rPr>
          <w:rFonts w:ascii="Calibri" w:eastAsia="Calibri" w:hAnsi="Calibri" w:cs="Calibri"/>
          <w:color w:val="000000" w:themeColor="text1"/>
          <w:sz w:val="22"/>
          <w:szCs w:val="22"/>
        </w:rPr>
        <w:t xml:space="preserve"> &lt; 0.05</w:t>
      </w:r>
      <w:r w:rsidR="00FD42F2">
        <w:rPr>
          <w:rFonts w:ascii="Calibri" w:eastAsia="Calibri" w:hAnsi="Calibri" w:cs="Calibri"/>
          <w:color w:val="000000" w:themeColor="text1"/>
          <w:sz w:val="22"/>
          <w:szCs w:val="22"/>
        </w:rPr>
        <w:t xml:space="preserve"> uncorrected for multiple testing</w:t>
      </w:r>
    </w:p>
    <w:p w14:paraId="11076E44" w14:textId="39120AA2" w:rsidR="00F578D4" w:rsidRPr="00BC1375" w:rsidRDefault="00F578D4" w:rsidP="00F578D4">
      <w:pPr>
        <w:rPr>
          <w:rFonts w:ascii="Calibri" w:eastAsia="Calibri" w:hAnsi="Calibri" w:cs="Calibri"/>
          <w:color w:val="000000" w:themeColor="text1"/>
          <w:sz w:val="22"/>
          <w:szCs w:val="22"/>
        </w:rPr>
      </w:pPr>
      <w:r w:rsidRPr="00F578D4">
        <w:rPr>
          <w:rFonts w:ascii="Calibri" w:eastAsia="Calibri" w:hAnsi="Calibri" w:cs="Calibri"/>
          <w:color w:val="000000" w:themeColor="text1"/>
          <w:sz w:val="22"/>
          <w:szCs w:val="22"/>
          <w:vertAlign w:val="superscript"/>
        </w:rPr>
        <w:t>1</w:t>
      </w:r>
      <w:r w:rsidRPr="1C3C5658">
        <w:rPr>
          <w:rFonts w:ascii="Calibri" w:eastAsia="Calibri" w:hAnsi="Calibri" w:cs="Calibri"/>
          <w:color w:val="000000" w:themeColor="text1"/>
          <w:sz w:val="22"/>
          <w:szCs w:val="22"/>
        </w:rPr>
        <w:t xml:space="preserve"> </w:t>
      </w:r>
      <w:r w:rsidR="008A439E">
        <w:rPr>
          <w:rFonts w:ascii="Calibri" w:eastAsia="Calibri" w:hAnsi="Calibri" w:cs="Calibri"/>
          <w:color w:val="000000" w:themeColor="text1"/>
          <w:sz w:val="22"/>
          <w:szCs w:val="22"/>
        </w:rPr>
        <w:t>IQ d</w:t>
      </w:r>
      <w:r>
        <w:rPr>
          <w:rFonts w:ascii="Calibri" w:eastAsia="Calibri" w:hAnsi="Calibri" w:cs="Calibri"/>
          <w:color w:val="000000" w:themeColor="text1"/>
          <w:sz w:val="22"/>
          <w:szCs w:val="22"/>
        </w:rPr>
        <w:t xml:space="preserve">ata presented as standardised scores </w:t>
      </w:r>
    </w:p>
    <w:p w14:paraId="6A605D15" w14:textId="7C1BAA46" w:rsidR="00B95D1C" w:rsidRPr="000F2729" w:rsidRDefault="00F578D4" w:rsidP="00545FCB">
      <w:pPr>
        <w:spacing w:line="360" w:lineRule="auto"/>
      </w:pPr>
      <w:r>
        <w:br w:type="page"/>
      </w:r>
      <w:r w:rsidR="00D332E0" w:rsidRPr="00D332E0">
        <w:rPr>
          <w:b/>
        </w:rPr>
        <w:t xml:space="preserve">Supplementary Table </w:t>
      </w:r>
      <w:r w:rsidR="00D332E0" w:rsidRPr="7C2D98E8">
        <w:rPr>
          <w:b/>
          <w:bCs/>
        </w:rPr>
        <w:t>S</w:t>
      </w:r>
      <w:r w:rsidR="00DD6905">
        <w:rPr>
          <w:b/>
          <w:bCs/>
        </w:rPr>
        <w:t>3</w:t>
      </w:r>
      <w:r w:rsidR="00545FCB">
        <w:rPr>
          <w:b/>
        </w:rPr>
        <w:t>.</w:t>
      </w:r>
      <w:r w:rsidR="00D332E0" w:rsidRPr="00D332E0">
        <w:rPr>
          <w:b/>
        </w:rPr>
        <w:t xml:space="preserve"> Simulation analysis of NRH frequency</w:t>
      </w:r>
    </w:p>
    <w:tbl>
      <w:tblPr>
        <w:tblpPr w:leftFromText="180" w:rightFromText="180" w:vertAnchor="text" w:horzAnchor="margin" w:tblpY="218"/>
        <w:tblW w:w="0" w:type="auto"/>
        <w:tblLayout w:type="fixed"/>
        <w:tblLook w:val="06A0" w:firstRow="1" w:lastRow="0" w:firstColumn="1" w:lastColumn="0" w:noHBand="1" w:noVBand="1"/>
      </w:tblPr>
      <w:tblGrid>
        <w:gridCol w:w="3135"/>
        <w:gridCol w:w="2622"/>
        <w:gridCol w:w="3240"/>
      </w:tblGrid>
      <w:tr w:rsidR="00D332E0" w14:paraId="4752C95E" w14:textId="77777777" w:rsidTr="003F5954">
        <w:trPr>
          <w:trHeight w:val="375"/>
        </w:trPr>
        <w:tc>
          <w:tcPr>
            <w:tcW w:w="3135" w:type="dxa"/>
            <w:tcBorders>
              <w:top w:val="single" w:sz="4" w:space="0" w:color="auto"/>
              <w:left w:val="nil"/>
              <w:bottom w:val="single" w:sz="4" w:space="0" w:color="auto"/>
              <w:right w:val="nil"/>
            </w:tcBorders>
          </w:tcPr>
          <w:p w14:paraId="3F5F280A" w14:textId="77777777" w:rsidR="00D332E0" w:rsidRDefault="00D332E0" w:rsidP="00545FCB">
            <w:pPr>
              <w:spacing w:line="360" w:lineRule="auto"/>
              <w:jc w:val="center"/>
              <w:rPr>
                <w:rFonts w:ascii="Calibri" w:eastAsia="Calibri" w:hAnsi="Calibri" w:cs="Calibri"/>
                <w:b/>
                <w:bCs/>
                <w:color w:val="000000" w:themeColor="text1"/>
                <w:sz w:val="22"/>
                <w:szCs w:val="22"/>
              </w:rPr>
            </w:pPr>
            <w:r w:rsidRPr="7D17AD2C">
              <w:rPr>
                <w:rFonts w:ascii="Calibri" w:eastAsia="Calibri" w:hAnsi="Calibri" w:cs="Calibri"/>
                <w:b/>
                <w:bCs/>
                <w:color w:val="000000" w:themeColor="text1"/>
                <w:sz w:val="22"/>
                <w:szCs w:val="22"/>
              </w:rPr>
              <w:t>Starting sample size</w:t>
            </w:r>
          </w:p>
        </w:tc>
        <w:tc>
          <w:tcPr>
            <w:tcW w:w="2622" w:type="dxa"/>
            <w:tcBorders>
              <w:top w:val="single" w:sz="4" w:space="0" w:color="auto"/>
              <w:left w:val="nil"/>
              <w:bottom w:val="single" w:sz="4" w:space="0" w:color="auto"/>
              <w:right w:val="nil"/>
            </w:tcBorders>
          </w:tcPr>
          <w:p w14:paraId="408FCBE5" w14:textId="77777777" w:rsidR="00D332E0" w:rsidRDefault="00D332E0" w:rsidP="00545FCB">
            <w:pPr>
              <w:spacing w:line="360" w:lineRule="auto"/>
              <w:jc w:val="center"/>
              <w:rPr>
                <w:rFonts w:ascii="Calibri" w:eastAsia="Calibri" w:hAnsi="Calibri" w:cs="Calibri"/>
                <w:sz w:val="22"/>
                <w:szCs w:val="22"/>
              </w:rPr>
            </w:pPr>
            <w:r w:rsidRPr="7D17AD2C">
              <w:rPr>
                <w:rFonts w:ascii="Calibri" w:eastAsia="Calibri" w:hAnsi="Calibri" w:cs="Calibri"/>
                <w:b/>
                <w:bCs/>
                <w:color w:val="000000" w:themeColor="text1"/>
                <w:sz w:val="22"/>
                <w:szCs w:val="22"/>
              </w:rPr>
              <w:t xml:space="preserve">Min NRH </w:t>
            </w:r>
            <w:r>
              <w:rPr>
                <w:rFonts w:ascii="Calibri" w:eastAsia="Calibri" w:hAnsi="Calibri" w:cs="Calibri"/>
                <w:b/>
                <w:bCs/>
                <w:color w:val="000000" w:themeColor="text1"/>
                <w:sz w:val="22"/>
                <w:szCs w:val="22"/>
              </w:rPr>
              <w:t>%</w:t>
            </w:r>
          </w:p>
        </w:tc>
        <w:tc>
          <w:tcPr>
            <w:tcW w:w="3240" w:type="dxa"/>
            <w:tcBorders>
              <w:top w:val="single" w:sz="4" w:space="0" w:color="auto"/>
              <w:left w:val="nil"/>
              <w:bottom w:val="single" w:sz="4" w:space="0" w:color="auto"/>
              <w:right w:val="nil"/>
            </w:tcBorders>
          </w:tcPr>
          <w:p w14:paraId="678DD5DF" w14:textId="77777777" w:rsidR="00D332E0" w:rsidRDefault="00D332E0" w:rsidP="00545FCB">
            <w:pPr>
              <w:spacing w:line="360" w:lineRule="auto"/>
              <w:jc w:val="center"/>
              <w:rPr>
                <w:rFonts w:ascii="Calibri" w:eastAsia="Calibri" w:hAnsi="Calibri" w:cs="Calibri"/>
                <w:sz w:val="22"/>
                <w:szCs w:val="22"/>
              </w:rPr>
            </w:pPr>
            <w:r w:rsidRPr="7D17AD2C">
              <w:rPr>
                <w:rFonts w:ascii="Calibri" w:eastAsia="Calibri" w:hAnsi="Calibri" w:cs="Calibri"/>
                <w:b/>
                <w:bCs/>
                <w:color w:val="000000" w:themeColor="text1"/>
                <w:sz w:val="22"/>
                <w:szCs w:val="22"/>
              </w:rPr>
              <w:t>Max NRH f</w:t>
            </w:r>
            <w:r>
              <w:rPr>
                <w:rFonts w:ascii="Calibri" w:eastAsia="Calibri" w:hAnsi="Calibri" w:cs="Calibri"/>
                <w:b/>
                <w:bCs/>
                <w:color w:val="000000" w:themeColor="text1"/>
                <w:sz w:val="22"/>
                <w:szCs w:val="22"/>
              </w:rPr>
              <w:t>%</w:t>
            </w:r>
          </w:p>
        </w:tc>
      </w:tr>
      <w:tr w:rsidR="00D332E0" w14:paraId="79973093" w14:textId="77777777" w:rsidTr="003F5954">
        <w:trPr>
          <w:trHeight w:val="300"/>
        </w:trPr>
        <w:tc>
          <w:tcPr>
            <w:tcW w:w="3135" w:type="dxa"/>
            <w:tcBorders>
              <w:top w:val="single" w:sz="4" w:space="0" w:color="auto"/>
              <w:left w:val="nil"/>
              <w:right w:val="nil"/>
            </w:tcBorders>
          </w:tcPr>
          <w:p w14:paraId="4E03F091" w14:textId="77777777" w:rsidR="00D332E0" w:rsidRPr="00D332E0" w:rsidRDefault="00D332E0" w:rsidP="00545FCB">
            <w:pPr>
              <w:spacing w:line="360" w:lineRule="auto"/>
              <w:jc w:val="center"/>
              <w:rPr>
                <w:rFonts w:ascii="Calibri" w:eastAsia="Calibri" w:hAnsi="Calibri" w:cs="Calibri"/>
                <w:bCs/>
                <w:color w:val="000000" w:themeColor="text1"/>
                <w:sz w:val="22"/>
                <w:szCs w:val="22"/>
              </w:rPr>
            </w:pPr>
            <w:r w:rsidRPr="00D332E0">
              <w:rPr>
                <w:rFonts w:ascii="Calibri" w:eastAsia="Calibri" w:hAnsi="Calibri" w:cs="Calibri"/>
                <w:bCs/>
                <w:color w:val="000000" w:themeColor="text1"/>
                <w:sz w:val="22"/>
                <w:szCs w:val="22"/>
              </w:rPr>
              <w:t>500</w:t>
            </w:r>
          </w:p>
        </w:tc>
        <w:tc>
          <w:tcPr>
            <w:tcW w:w="2622" w:type="dxa"/>
            <w:tcBorders>
              <w:top w:val="single" w:sz="4" w:space="0" w:color="auto"/>
              <w:left w:val="nil"/>
              <w:right w:val="nil"/>
            </w:tcBorders>
          </w:tcPr>
          <w:p w14:paraId="0830C737" w14:textId="77777777" w:rsidR="00D332E0" w:rsidRDefault="00D332E0" w:rsidP="00545FCB">
            <w:pPr>
              <w:spacing w:line="360" w:lineRule="auto"/>
              <w:jc w:val="center"/>
              <w:rPr>
                <w:rFonts w:ascii="Calibri" w:eastAsia="Calibri" w:hAnsi="Calibri" w:cs="Calibri"/>
                <w:color w:val="000000" w:themeColor="text1"/>
                <w:sz w:val="22"/>
                <w:szCs w:val="22"/>
              </w:rPr>
            </w:pPr>
            <w:r w:rsidRPr="7D17AD2C">
              <w:rPr>
                <w:rFonts w:ascii="Calibri" w:eastAsia="Calibri" w:hAnsi="Calibri" w:cs="Calibri"/>
                <w:color w:val="000000" w:themeColor="text1"/>
                <w:sz w:val="22"/>
                <w:szCs w:val="22"/>
              </w:rPr>
              <w:t>0.08</w:t>
            </w:r>
          </w:p>
        </w:tc>
        <w:tc>
          <w:tcPr>
            <w:tcW w:w="3240" w:type="dxa"/>
            <w:tcBorders>
              <w:top w:val="single" w:sz="4" w:space="0" w:color="auto"/>
              <w:left w:val="nil"/>
              <w:right w:val="nil"/>
            </w:tcBorders>
          </w:tcPr>
          <w:p w14:paraId="525748F8" w14:textId="77777777" w:rsidR="00D332E0" w:rsidRDefault="00D332E0" w:rsidP="00545FCB">
            <w:pPr>
              <w:spacing w:line="360" w:lineRule="auto"/>
              <w:jc w:val="center"/>
              <w:rPr>
                <w:rFonts w:ascii="Calibri" w:eastAsia="Calibri" w:hAnsi="Calibri" w:cs="Calibri"/>
                <w:color w:val="000000" w:themeColor="text1"/>
                <w:sz w:val="22"/>
                <w:szCs w:val="22"/>
              </w:rPr>
            </w:pPr>
            <w:r w:rsidRPr="7D17AD2C">
              <w:rPr>
                <w:rFonts w:ascii="Calibri" w:eastAsia="Calibri" w:hAnsi="Calibri" w:cs="Calibri"/>
                <w:color w:val="000000" w:themeColor="text1"/>
                <w:sz w:val="22"/>
                <w:szCs w:val="22"/>
              </w:rPr>
              <w:t>0.15</w:t>
            </w:r>
          </w:p>
        </w:tc>
      </w:tr>
      <w:tr w:rsidR="00D332E0" w14:paraId="2FC07EB3" w14:textId="77777777" w:rsidTr="003F5954">
        <w:trPr>
          <w:trHeight w:val="300"/>
        </w:trPr>
        <w:tc>
          <w:tcPr>
            <w:tcW w:w="3135" w:type="dxa"/>
            <w:tcBorders>
              <w:left w:val="nil"/>
              <w:right w:val="nil"/>
            </w:tcBorders>
          </w:tcPr>
          <w:p w14:paraId="382F797B" w14:textId="77777777" w:rsidR="00D332E0" w:rsidRPr="00D332E0" w:rsidRDefault="00D332E0" w:rsidP="00545FCB">
            <w:pPr>
              <w:spacing w:line="360" w:lineRule="auto"/>
              <w:jc w:val="center"/>
              <w:rPr>
                <w:rFonts w:ascii="Calibri" w:eastAsia="Calibri" w:hAnsi="Calibri" w:cs="Calibri"/>
                <w:bCs/>
                <w:color w:val="000000" w:themeColor="text1"/>
                <w:sz w:val="22"/>
                <w:szCs w:val="22"/>
              </w:rPr>
            </w:pPr>
            <w:r w:rsidRPr="00D332E0">
              <w:rPr>
                <w:rFonts w:ascii="Calibri" w:eastAsia="Calibri" w:hAnsi="Calibri" w:cs="Calibri"/>
                <w:bCs/>
                <w:color w:val="000000" w:themeColor="text1"/>
                <w:sz w:val="22"/>
                <w:szCs w:val="22"/>
              </w:rPr>
              <w:t>750</w:t>
            </w:r>
          </w:p>
        </w:tc>
        <w:tc>
          <w:tcPr>
            <w:tcW w:w="2622" w:type="dxa"/>
            <w:tcBorders>
              <w:left w:val="nil"/>
              <w:right w:val="nil"/>
            </w:tcBorders>
          </w:tcPr>
          <w:p w14:paraId="105423C0" w14:textId="77777777" w:rsidR="00D332E0" w:rsidRDefault="00D332E0" w:rsidP="00545FCB">
            <w:pPr>
              <w:spacing w:line="360" w:lineRule="auto"/>
              <w:jc w:val="center"/>
              <w:rPr>
                <w:rFonts w:ascii="Calibri" w:eastAsia="Calibri" w:hAnsi="Calibri" w:cs="Calibri"/>
                <w:color w:val="000000" w:themeColor="text1"/>
                <w:sz w:val="22"/>
                <w:szCs w:val="22"/>
              </w:rPr>
            </w:pPr>
            <w:r w:rsidRPr="7D17AD2C">
              <w:rPr>
                <w:rFonts w:ascii="Calibri" w:eastAsia="Calibri" w:hAnsi="Calibri" w:cs="Calibri"/>
                <w:color w:val="000000" w:themeColor="text1"/>
                <w:sz w:val="22"/>
                <w:szCs w:val="22"/>
              </w:rPr>
              <w:t>0.09</w:t>
            </w:r>
          </w:p>
        </w:tc>
        <w:tc>
          <w:tcPr>
            <w:tcW w:w="3240" w:type="dxa"/>
            <w:tcBorders>
              <w:left w:val="nil"/>
              <w:right w:val="nil"/>
            </w:tcBorders>
          </w:tcPr>
          <w:p w14:paraId="06EC3BD8" w14:textId="77777777" w:rsidR="00D332E0" w:rsidRDefault="00D332E0" w:rsidP="00545FCB">
            <w:pPr>
              <w:spacing w:line="360" w:lineRule="auto"/>
              <w:jc w:val="center"/>
              <w:rPr>
                <w:rFonts w:ascii="Calibri" w:eastAsia="Calibri" w:hAnsi="Calibri" w:cs="Calibri"/>
                <w:color w:val="000000" w:themeColor="text1"/>
                <w:sz w:val="22"/>
                <w:szCs w:val="22"/>
              </w:rPr>
            </w:pPr>
            <w:r w:rsidRPr="7D17AD2C">
              <w:rPr>
                <w:rFonts w:ascii="Calibri" w:eastAsia="Calibri" w:hAnsi="Calibri" w:cs="Calibri"/>
                <w:color w:val="000000" w:themeColor="text1"/>
                <w:sz w:val="22"/>
                <w:szCs w:val="22"/>
              </w:rPr>
              <w:t>0.14</w:t>
            </w:r>
          </w:p>
        </w:tc>
      </w:tr>
      <w:tr w:rsidR="00D332E0" w14:paraId="10C5B55A" w14:textId="77777777" w:rsidTr="003F5954">
        <w:trPr>
          <w:trHeight w:val="300"/>
        </w:trPr>
        <w:tc>
          <w:tcPr>
            <w:tcW w:w="3135" w:type="dxa"/>
            <w:tcBorders>
              <w:left w:val="nil"/>
              <w:bottom w:val="single" w:sz="6" w:space="0" w:color="7F7F7F" w:themeColor="text1" w:themeTint="80"/>
              <w:right w:val="nil"/>
            </w:tcBorders>
          </w:tcPr>
          <w:p w14:paraId="06C95978" w14:textId="77777777" w:rsidR="00D332E0" w:rsidRPr="00D332E0" w:rsidRDefault="00D332E0" w:rsidP="00545FCB">
            <w:pPr>
              <w:spacing w:line="360" w:lineRule="auto"/>
              <w:jc w:val="center"/>
              <w:rPr>
                <w:rFonts w:ascii="Calibri" w:eastAsia="Calibri" w:hAnsi="Calibri" w:cs="Calibri"/>
                <w:bCs/>
                <w:color w:val="000000" w:themeColor="text1"/>
                <w:sz w:val="22"/>
                <w:szCs w:val="22"/>
              </w:rPr>
            </w:pPr>
            <w:r w:rsidRPr="00D332E0">
              <w:rPr>
                <w:rFonts w:ascii="Calibri" w:eastAsia="Calibri" w:hAnsi="Calibri" w:cs="Calibri"/>
                <w:bCs/>
                <w:color w:val="000000" w:themeColor="text1"/>
                <w:sz w:val="22"/>
                <w:szCs w:val="22"/>
              </w:rPr>
              <w:t>1000</w:t>
            </w:r>
          </w:p>
        </w:tc>
        <w:tc>
          <w:tcPr>
            <w:tcW w:w="2622" w:type="dxa"/>
            <w:tcBorders>
              <w:left w:val="nil"/>
              <w:bottom w:val="single" w:sz="6" w:space="0" w:color="7F7F7F" w:themeColor="text1" w:themeTint="80"/>
              <w:right w:val="nil"/>
            </w:tcBorders>
          </w:tcPr>
          <w:p w14:paraId="757A0C29" w14:textId="77777777" w:rsidR="00D332E0" w:rsidRDefault="00D332E0" w:rsidP="00545FCB">
            <w:pPr>
              <w:spacing w:line="360" w:lineRule="auto"/>
              <w:jc w:val="center"/>
              <w:rPr>
                <w:rFonts w:ascii="Calibri" w:eastAsia="Calibri" w:hAnsi="Calibri" w:cs="Calibri"/>
                <w:color w:val="000000" w:themeColor="text1"/>
                <w:sz w:val="22"/>
                <w:szCs w:val="22"/>
              </w:rPr>
            </w:pPr>
            <w:r w:rsidRPr="7D17AD2C">
              <w:rPr>
                <w:rFonts w:ascii="Calibri" w:eastAsia="Calibri" w:hAnsi="Calibri" w:cs="Calibri"/>
                <w:color w:val="000000" w:themeColor="text1"/>
                <w:sz w:val="22"/>
                <w:szCs w:val="22"/>
              </w:rPr>
              <w:t>0.11</w:t>
            </w:r>
          </w:p>
        </w:tc>
        <w:tc>
          <w:tcPr>
            <w:tcW w:w="3240" w:type="dxa"/>
            <w:tcBorders>
              <w:left w:val="nil"/>
              <w:bottom w:val="single" w:sz="6" w:space="0" w:color="7F7F7F" w:themeColor="text1" w:themeTint="80"/>
              <w:right w:val="nil"/>
            </w:tcBorders>
          </w:tcPr>
          <w:p w14:paraId="66316A3E" w14:textId="77777777" w:rsidR="00D332E0" w:rsidRDefault="00D332E0" w:rsidP="00545FCB">
            <w:pPr>
              <w:spacing w:line="360" w:lineRule="auto"/>
              <w:jc w:val="center"/>
              <w:rPr>
                <w:rFonts w:ascii="Calibri" w:eastAsia="Calibri" w:hAnsi="Calibri" w:cs="Calibri"/>
                <w:color w:val="000000" w:themeColor="text1"/>
                <w:sz w:val="22"/>
                <w:szCs w:val="22"/>
              </w:rPr>
            </w:pPr>
            <w:r w:rsidRPr="7D17AD2C">
              <w:rPr>
                <w:rFonts w:ascii="Calibri" w:eastAsia="Calibri" w:hAnsi="Calibri" w:cs="Calibri"/>
                <w:color w:val="000000" w:themeColor="text1"/>
                <w:sz w:val="22"/>
                <w:szCs w:val="22"/>
              </w:rPr>
              <w:t>0.13</w:t>
            </w:r>
          </w:p>
        </w:tc>
      </w:tr>
    </w:tbl>
    <w:p w14:paraId="0722C94A" w14:textId="712F943B" w:rsidR="007B2562" w:rsidRDefault="007B2562" w:rsidP="00545FCB">
      <w:pPr>
        <w:spacing w:line="360" w:lineRule="auto"/>
        <w:rPr>
          <w:b/>
          <w:bCs/>
          <w:lang w:val="en-US"/>
        </w:rPr>
        <w:sectPr w:rsidR="007B2562" w:rsidSect="00B32F6F">
          <w:pgSz w:w="16838" w:h="11906" w:orient="landscape"/>
          <w:pgMar w:top="1440" w:right="1440" w:bottom="1440" w:left="1440" w:header="708" w:footer="708" w:gutter="0"/>
          <w:cols w:space="708"/>
          <w:docGrid w:linePitch="360"/>
        </w:sectPr>
      </w:pPr>
    </w:p>
    <w:p w14:paraId="5F4DFAF5" w14:textId="57B99F58" w:rsidR="00D332E0" w:rsidRDefault="00D332E0" w:rsidP="00545FCB">
      <w:pPr>
        <w:spacing w:line="360" w:lineRule="auto"/>
        <w:rPr>
          <w:b/>
          <w:bCs/>
          <w:lang w:val="en-US"/>
        </w:rPr>
      </w:pPr>
    </w:p>
    <w:p w14:paraId="016D62ED" w14:textId="19FBBCDD" w:rsidR="00B95D1C" w:rsidRPr="003F5954" w:rsidRDefault="004C3E2B" w:rsidP="00545FCB">
      <w:pPr>
        <w:spacing w:line="360" w:lineRule="auto"/>
        <w:rPr>
          <w:b/>
          <w:bCs/>
          <w:sz w:val="28"/>
          <w:szCs w:val="28"/>
          <w:lang w:val="en-US"/>
        </w:rPr>
      </w:pPr>
      <w:r w:rsidRPr="003F5954">
        <w:rPr>
          <w:b/>
          <w:bCs/>
          <w:sz w:val="28"/>
          <w:szCs w:val="28"/>
          <w:lang w:val="en-US"/>
        </w:rPr>
        <w:t xml:space="preserve">Supplementary </w:t>
      </w:r>
      <w:r w:rsidR="003F5954">
        <w:rPr>
          <w:b/>
          <w:bCs/>
          <w:sz w:val="28"/>
          <w:szCs w:val="28"/>
          <w:lang w:val="en-US"/>
        </w:rPr>
        <w:t>F</w:t>
      </w:r>
      <w:r w:rsidRPr="003F5954">
        <w:rPr>
          <w:b/>
          <w:bCs/>
          <w:sz w:val="28"/>
          <w:szCs w:val="28"/>
          <w:lang w:val="en-US"/>
        </w:rPr>
        <w:t>igures</w:t>
      </w:r>
    </w:p>
    <w:p w14:paraId="3B2F564D" w14:textId="6917DDBC" w:rsidR="007B2562" w:rsidRDefault="007B2562" w:rsidP="00545FCB">
      <w:pPr>
        <w:spacing w:line="360" w:lineRule="auto"/>
        <w:rPr>
          <w:b/>
          <w:bCs/>
          <w:lang w:val="en-US"/>
        </w:rPr>
      </w:pPr>
    </w:p>
    <w:p w14:paraId="342A6AAC" w14:textId="77777777" w:rsidR="007B2562" w:rsidRPr="00BC1375" w:rsidRDefault="007B2562" w:rsidP="00545FCB">
      <w:pPr>
        <w:spacing w:line="360" w:lineRule="auto"/>
        <w:rPr>
          <w:b/>
          <w:bCs/>
          <w:lang w:val="en-US"/>
        </w:rPr>
      </w:pPr>
    </w:p>
    <w:p w14:paraId="5E1F1C02" w14:textId="4471667A" w:rsidR="006963AA" w:rsidRPr="00BC1375" w:rsidRDefault="002C457C" w:rsidP="00545FCB">
      <w:pPr>
        <w:spacing w:line="360" w:lineRule="auto"/>
        <w:rPr>
          <w:b/>
          <w:lang w:val="en-US"/>
        </w:rPr>
      </w:pPr>
      <w:r>
        <w:rPr>
          <w:b/>
          <w:noProof/>
          <w:lang w:eastAsia="en-GB"/>
        </w:rPr>
        <w:drawing>
          <wp:inline distT="0" distB="0" distL="0" distR="0" wp14:anchorId="4EEE7A2E" wp14:editId="0CB409AC">
            <wp:extent cx="5731510" cy="3496945"/>
            <wp:effectExtent l="0" t="0" r="2540" b="825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496945"/>
                    </a:xfrm>
                    <a:prstGeom prst="rect">
                      <a:avLst/>
                    </a:prstGeom>
                    <a:noFill/>
                    <a:ln>
                      <a:noFill/>
                    </a:ln>
                  </pic:spPr>
                </pic:pic>
              </a:graphicData>
            </a:graphic>
          </wp:inline>
        </w:drawing>
      </w:r>
    </w:p>
    <w:p w14:paraId="17535AE7" w14:textId="757EFAF6" w:rsidR="003F5954" w:rsidRDefault="003F5954" w:rsidP="00545FCB">
      <w:pPr>
        <w:spacing w:line="360" w:lineRule="auto"/>
        <w:rPr>
          <w:b/>
          <w:bCs/>
          <w:lang w:val="en-US"/>
        </w:rPr>
      </w:pPr>
    </w:p>
    <w:p w14:paraId="6FD8894E" w14:textId="77777777" w:rsidR="003F5954" w:rsidRDefault="003F5954" w:rsidP="00545FCB">
      <w:pPr>
        <w:spacing w:line="360" w:lineRule="auto"/>
        <w:rPr>
          <w:b/>
          <w:bCs/>
          <w:lang w:val="en-US"/>
        </w:rPr>
      </w:pPr>
    </w:p>
    <w:p w14:paraId="6DEB85E1" w14:textId="644CC2C2" w:rsidR="52457684" w:rsidRPr="0063073D" w:rsidRDefault="006C3BCE" w:rsidP="00545FCB">
      <w:pPr>
        <w:spacing w:line="360" w:lineRule="auto"/>
        <w:rPr>
          <w:bCs/>
          <w:lang w:val="en-US"/>
        </w:rPr>
      </w:pPr>
      <w:r w:rsidRPr="7D17AD2C">
        <w:rPr>
          <w:b/>
          <w:bCs/>
          <w:lang w:val="en-US"/>
        </w:rPr>
        <w:t>Supplementary</w:t>
      </w:r>
      <w:r w:rsidR="00B9258B" w:rsidRPr="7D17AD2C">
        <w:rPr>
          <w:b/>
          <w:bCs/>
          <w:lang w:val="en-US"/>
        </w:rPr>
        <w:t xml:space="preserve"> </w:t>
      </w:r>
      <w:r w:rsidR="007F6703" w:rsidRPr="7D17AD2C">
        <w:rPr>
          <w:b/>
          <w:bCs/>
          <w:lang w:val="en-US"/>
        </w:rPr>
        <w:t xml:space="preserve">Figure S1: </w:t>
      </w:r>
      <w:r w:rsidR="007F6703" w:rsidRPr="0063073D">
        <w:rPr>
          <w:bCs/>
          <w:lang w:val="en-US"/>
        </w:rPr>
        <w:t>Funnel plo</w:t>
      </w:r>
      <w:r w:rsidR="00F643DF" w:rsidRPr="0063073D">
        <w:rPr>
          <w:bCs/>
          <w:lang w:val="en-US"/>
        </w:rPr>
        <w:t xml:space="preserve">t </w:t>
      </w:r>
      <w:r w:rsidR="007F6703" w:rsidRPr="0063073D">
        <w:rPr>
          <w:bCs/>
          <w:lang w:val="en-US"/>
        </w:rPr>
        <w:t xml:space="preserve">for handedness </w:t>
      </w:r>
      <w:r w:rsidR="3ED12DEA" w:rsidRPr="0063073D">
        <w:rPr>
          <w:bCs/>
          <w:lang w:val="en-US"/>
        </w:rPr>
        <w:t xml:space="preserve">meta-analysis </w:t>
      </w:r>
      <w:r w:rsidR="4A705A41" w:rsidRPr="0063073D">
        <w:rPr>
          <w:bCs/>
          <w:lang w:val="en-US"/>
        </w:rPr>
        <w:t>in individuals with language/reading impairments</w:t>
      </w:r>
      <w:r w:rsidR="742C7A8F" w:rsidRPr="0063073D">
        <w:rPr>
          <w:bCs/>
          <w:lang w:val="en-US"/>
        </w:rPr>
        <w:t xml:space="preserve"> corresponding to Figure 1 in the main text</w:t>
      </w:r>
      <w:r w:rsidR="4A705A41" w:rsidRPr="0063073D">
        <w:rPr>
          <w:bCs/>
          <w:lang w:val="en-US"/>
        </w:rPr>
        <w:t>. C</w:t>
      </w:r>
      <w:r w:rsidR="64B658F2" w:rsidRPr="0063073D">
        <w:rPr>
          <w:bCs/>
          <w:lang w:val="en-US"/>
        </w:rPr>
        <w:t xml:space="preserve">omorbid individuals </w:t>
      </w:r>
      <w:r w:rsidR="43A333AA" w:rsidRPr="0063073D">
        <w:rPr>
          <w:bCs/>
          <w:lang w:val="en-US"/>
        </w:rPr>
        <w:t xml:space="preserve">are </w:t>
      </w:r>
      <w:r w:rsidR="64B658F2" w:rsidRPr="0063073D">
        <w:rPr>
          <w:bCs/>
          <w:lang w:val="en-US"/>
        </w:rPr>
        <w:t xml:space="preserve">included in the </w:t>
      </w:r>
      <w:r w:rsidR="4E2C2E47" w:rsidRPr="0063073D">
        <w:rPr>
          <w:bCs/>
          <w:lang w:val="en-US"/>
        </w:rPr>
        <w:t xml:space="preserve">language </w:t>
      </w:r>
      <w:r w:rsidR="64B658F2" w:rsidRPr="0063073D">
        <w:rPr>
          <w:bCs/>
          <w:lang w:val="en-US"/>
        </w:rPr>
        <w:t>impaired group</w:t>
      </w:r>
      <w:r w:rsidR="59F18B77" w:rsidRPr="0063073D">
        <w:rPr>
          <w:bCs/>
          <w:lang w:val="en-US"/>
        </w:rPr>
        <w:t xml:space="preserve">. </w:t>
      </w:r>
    </w:p>
    <w:p w14:paraId="0D1C6176" w14:textId="5D223D1D" w:rsidR="7D17AD2C" w:rsidRDefault="7D17AD2C" w:rsidP="00545FCB">
      <w:pPr>
        <w:spacing w:line="360" w:lineRule="auto"/>
        <w:rPr>
          <w:b/>
          <w:bCs/>
          <w:lang w:val="en-US"/>
        </w:rPr>
      </w:pPr>
    </w:p>
    <w:p w14:paraId="058F70BC" w14:textId="77A76852" w:rsidR="003410C3" w:rsidRDefault="003410C3" w:rsidP="00545FCB">
      <w:pPr>
        <w:spacing w:line="360" w:lineRule="auto"/>
        <w:rPr>
          <w:b/>
          <w:bCs/>
          <w:lang w:val="en-US"/>
        </w:rPr>
      </w:pPr>
    </w:p>
    <w:p w14:paraId="6C5A1117" w14:textId="7E7AC601" w:rsidR="003410C3" w:rsidRDefault="003410C3" w:rsidP="00545FCB">
      <w:pPr>
        <w:spacing w:line="360" w:lineRule="auto"/>
        <w:rPr>
          <w:b/>
          <w:bCs/>
          <w:lang w:val="en-US"/>
        </w:rPr>
      </w:pPr>
    </w:p>
    <w:p w14:paraId="470B0701" w14:textId="63663675" w:rsidR="003410C3" w:rsidRDefault="003410C3" w:rsidP="00545FCB">
      <w:pPr>
        <w:spacing w:line="360" w:lineRule="auto"/>
        <w:rPr>
          <w:b/>
          <w:bCs/>
          <w:lang w:val="en-US"/>
        </w:rPr>
      </w:pPr>
    </w:p>
    <w:p w14:paraId="6344176B" w14:textId="5FD8C7CD" w:rsidR="003410C3" w:rsidRDefault="003410C3" w:rsidP="00545FCB">
      <w:pPr>
        <w:spacing w:line="360" w:lineRule="auto"/>
        <w:rPr>
          <w:b/>
          <w:bCs/>
          <w:lang w:val="en-US"/>
        </w:rPr>
      </w:pPr>
    </w:p>
    <w:p w14:paraId="1A75FEE2" w14:textId="34A70FAA" w:rsidR="003410C3" w:rsidRDefault="003410C3" w:rsidP="00545FCB">
      <w:pPr>
        <w:spacing w:line="360" w:lineRule="auto"/>
        <w:rPr>
          <w:b/>
          <w:bCs/>
          <w:lang w:val="en-US"/>
        </w:rPr>
      </w:pPr>
    </w:p>
    <w:p w14:paraId="3C6E4F7D" w14:textId="77777777" w:rsidR="003410C3" w:rsidRDefault="003410C3" w:rsidP="00545FCB">
      <w:pPr>
        <w:spacing w:line="360" w:lineRule="auto"/>
        <w:rPr>
          <w:b/>
          <w:bCs/>
          <w:lang w:val="en-US"/>
        </w:rPr>
      </w:pPr>
    </w:p>
    <w:p w14:paraId="5D8FC2AC" w14:textId="2949F58A" w:rsidR="7D17AD2C" w:rsidRDefault="7D17AD2C" w:rsidP="00545FCB">
      <w:pPr>
        <w:spacing w:line="360" w:lineRule="auto"/>
        <w:rPr>
          <w:b/>
          <w:bCs/>
          <w:lang w:val="en-US"/>
        </w:rPr>
      </w:pPr>
    </w:p>
    <w:p w14:paraId="1B5EC35E" w14:textId="703D71A9" w:rsidR="7D17AD2C" w:rsidRDefault="00254005" w:rsidP="00545FCB">
      <w:pPr>
        <w:spacing w:line="360" w:lineRule="auto"/>
        <w:rPr>
          <w:b/>
          <w:bCs/>
          <w:lang w:val="en-US"/>
        </w:rPr>
      </w:pPr>
      <w:r>
        <w:rPr>
          <w:b/>
          <w:bCs/>
          <w:noProof/>
          <w:lang w:eastAsia="en-GB"/>
        </w:rPr>
        <w:drawing>
          <wp:inline distT="0" distB="0" distL="0" distR="0" wp14:anchorId="264C87E5" wp14:editId="1EAE97B6">
            <wp:extent cx="5886450" cy="3249091"/>
            <wp:effectExtent l="0" t="0" r="0" b="889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8916" cy="3250452"/>
                    </a:xfrm>
                    <a:prstGeom prst="rect">
                      <a:avLst/>
                    </a:prstGeom>
                    <a:noFill/>
                    <a:ln>
                      <a:noFill/>
                    </a:ln>
                  </pic:spPr>
                </pic:pic>
              </a:graphicData>
            </a:graphic>
          </wp:inline>
        </w:drawing>
      </w:r>
    </w:p>
    <w:p w14:paraId="65E3EC60" w14:textId="1B8DD63B" w:rsidR="003F5954" w:rsidRDefault="003F5954" w:rsidP="00545FCB">
      <w:pPr>
        <w:spacing w:line="360" w:lineRule="auto"/>
        <w:rPr>
          <w:rFonts w:eastAsiaTheme="minorEastAsia"/>
          <w:b/>
          <w:bCs/>
          <w:color w:val="000000" w:themeColor="text1"/>
        </w:rPr>
      </w:pPr>
    </w:p>
    <w:p w14:paraId="15672AC1" w14:textId="77777777" w:rsidR="003F5954" w:rsidRDefault="003F5954" w:rsidP="00545FCB">
      <w:pPr>
        <w:spacing w:line="360" w:lineRule="auto"/>
        <w:rPr>
          <w:rFonts w:eastAsiaTheme="minorEastAsia"/>
          <w:b/>
          <w:bCs/>
          <w:color w:val="000000" w:themeColor="text1"/>
        </w:rPr>
      </w:pPr>
    </w:p>
    <w:p w14:paraId="1564EB5C" w14:textId="43B1EE73" w:rsidR="7D17AD2C" w:rsidRPr="00545FCB" w:rsidRDefault="5D1BDC02" w:rsidP="1C3C5658">
      <w:pPr>
        <w:spacing w:line="360" w:lineRule="auto"/>
        <w:rPr>
          <w:rFonts w:eastAsiaTheme="minorEastAsia"/>
          <w:color w:val="000000" w:themeColor="text1"/>
        </w:rPr>
      </w:pPr>
      <w:r w:rsidRPr="1C3C5658">
        <w:rPr>
          <w:rFonts w:eastAsiaTheme="minorEastAsia"/>
          <w:b/>
          <w:bCs/>
          <w:color w:val="000000" w:themeColor="text1"/>
        </w:rPr>
        <w:t xml:space="preserve">Supplementary Figure S2: </w:t>
      </w:r>
      <w:r w:rsidRPr="1C3C5658">
        <w:rPr>
          <w:rFonts w:eastAsiaTheme="minorEastAsia"/>
          <w:color w:val="000000" w:themeColor="text1"/>
        </w:rPr>
        <w:t xml:space="preserve">Meta-analysis </w:t>
      </w:r>
      <w:r w:rsidR="0F3FAF77" w:rsidRPr="1C3C5658">
        <w:rPr>
          <w:rFonts w:eastAsiaTheme="minorEastAsia"/>
          <w:color w:val="000000" w:themeColor="text1"/>
        </w:rPr>
        <w:t xml:space="preserve">after excluding </w:t>
      </w:r>
      <w:r w:rsidRPr="1C3C5658">
        <w:rPr>
          <w:rFonts w:eastAsiaTheme="minorEastAsia"/>
          <w:color w:val="000000" w:themeColor="text1"/>
        </w:rPr>
        <w:t xml:space="preserve">the Manchester </w:t>
      </w:r>
      <w:r w:rsidR="3EE1D91A" w:rsidRPr="1C3C5658">
        <w:rPr>
          <w:rFonts w:eastAsiaTheme="minorEastAsia"/>
          <w:color w:val="000000" w:themeColor="text1"/>
        </w:rPr>
        <w:t>Language Study</w:t>
      </w:r>
      <w:r w:rsidR="46D8000F" w:rsidRPr="1C3C5658">
        <w:rPr>
          <w:rFonts w:eastAsiaTheme="minorEastAsia"/>
          <w:color w:val="000000" w:themeColor="text1"/>
        </w:rPr>
        <w:t xml:space="preserve"> and the UKDYS cohort</w:t>
      </w:r>
      <w:r w:rsidR="00177453">
        <w:rPr>
          <w:rFonts w:eastAsiaTheme="minorEastAsia"/>
          <w:color w:val="000000" w:themeColor="text1"/>
        </w:rPr>
        <w:t>s</w:t>
      </w:r>
      <w:r w:rsidRPr="1C3C5658">
        <w:rPr>
          <w:rFonts w:eastAsiaTheme="minorEastAsia"/>
          <w:color w:val="000000" w:themeColor="text1"/>
        </w:rPr>
        <w:t>. Fores</w:t>
      </w:r>
      <w:r w:rsidR="5A51B9EA" w:rsidRPr="1C3C5658">
        <w:rPr>
          <w:rFonts w:eastAsiaTheme="minorEastAsia"/>
          <w:color w:val="000000" w:themeColor="text1"/>
        </w:rPr>
        <w:t>t</w:t>
      </w:r>
      <w:r w:rsidRPr="1C3C5658">
        <w:rPr>
          <w:rFonts w:eastAsiaTheme="minorEastAsia"/>
          <w:color w:val="000000" w:themeColor="text1"/>
        </w:rPr>
        <w:t xml:space="preserve"> plot comparing the frequency of non-right handedness between </w:t>
      </w:r>
      <w:r w:rsidR="00EB17DA" w:rsidRPr="1C3C5658">
        <w:rPr>
          <w:rFonts w:eastAsiaTheme="minorEastAsia"/>
          <w:color w:val="000000" w:themeColor="text1"/>
        </w:rPr>
        <w:t>individuals with reading/language impairment and controls</w:t>
      </w:r>
      <w:r w:rsidRPr="1C3C5658">
        <w:rPr>
          <w:rFonts w:eastAsiaTheme="minorEastAsia"/>
          <w:color w:val="000000" w:themeColor="text1"/>
        </w:rPr>
        <w:t>. The forest plot contains the Odds Ratio of Random effect estimates, 95% confidence interval and the weights (in percentage) of each cohort. The meta-analysis result was OR = 1.</w:t>
      </w:r>
      <w:r w:rsidR="21C15FB1" w:rsidRPr="1C3C5658">
        <w:rPr>
          <w:rFonts w:eastAsiaTheme="minorEastAsia"/>
          <w:color w:val="000000" w:themeColor="text1"/>
        </w:rPr>
        <w:t>19</w:t>
      </w:r>
      <w:r w:rsidRPr="1C3C5658">
        <w:rPr>
          <w:rFonts w:eastAsiaTheme="minorEastAsia"/>
          <w:color w:val="000000" w:themeColor="text1"/>
        </w:rPr>
        <w:t>, CI = 1.</w:t>
      </w:r>
      <w:r w:rsidR="4FA5B788" w:rsidRPr="1C3C5658">
        <w:rPr>
          <w:rFonts w:eastAsiaTheme="minorEastAsia"/>
          <w:color w:val="000000" w:themeColor="text1"/>
        </w:rPr>
        <w:t>0</w:t>
      </w:r>
      <w:r w:rsidR="008D110C">
        <w:rPr>
          <w:rFonts w:eastAsiaTheme="minorEastAsia"/>
          <w:color w:val="000000" w:themeColor="text1"/>
        </w:rPr>
        <w:t>3</w:t>
      </w:r>
      <w:r w:rsidRPr="1C3C5658">
        <w:rPr>
          <w:rFonts w:eastAsiaTheme="minorEastAsia"/>
          <w:color w:val="000000" w:themeColor="text1"/>
        </w:rPr>
        <w:t xml:space="preserve"> - 1.</w:t>
      </w:r>
      <w:r w:rsidR="4EC2B24A" w:rsidRPr="1C3C5658">
        <w:rPr>
          <w:rFonts w:eastAsiaTheme="minorEastAsia"/>
          <w:color w:val="000000" w:themeColor="text1"/>
        </w:rPr>
        <w:t>3</w:t>
      </w:r>
      <w:r w:rsidR="008D110C">
        <w:rPr>
          <w:rFonts w:eastAsiaTheme="minorEastAsia"/>
          <w:color w:val="000000" w:themeColor="text1"/>
        </w:rPr>
        <w:t>8</w:t>
      </w:r>
      <w:r w:rsidRPr="1C3C5658">
        <w:rPr>
          <w:rFonts w:eastAsiaTheme="minorEastAsia"/>
          <w:color w:val="000000" w:themeColor="text1"/>
        </w:rPr>
        <w:t xml:space="preserve">, </w:t>
      </w:r>
      <w:r w:rsidRPr="1C3C5658">
        <w:rPr>
          <w:rFonts w:eastAsiaTheme="minorEastAsia"/>
          <w:i/>
          <w:iCs/>
          <w:color w:val="000000" w:themeColor="text1"/>
        </w:rPr>
        <w:t>p</w:t>
      </w:r>
      <w:r w:rsidRPr="1C3C5658">
        <w:rPr>
          <w:rFonts w:eastAsiaTheme="minorEastAsia"/>
          <w:color w:val="000000" w:themeColor="text1"/>
        </w:rPr>
        <w:t xml:space="preserve"> = 0.0</w:t>
      </w:r>
      <w:r w:rsidR="008D110C">
        <w:rPr>
          <w:rFonts w:eastAsiaTheme="minorEastAsia"/>
          <w:color w:val="000000" w:themeColor="text1"/>
        </w:rPr>
        <w:t>2</w:t>
      </w:r>
      <w:r w:rsidRPr="1C3C5658">
        <w:rPr>
          <w:rFonts w:eastAsiaTheme="minorEastAsia"/>
          <w:color w:val="000000" w:themeColor="text1"/>
        </w:rPr>
        <w:t xml:space="preserve">. No heterogeneity was highlighted </w:t>
      </w:r>
      <w:r w:rsidRPr="1C3C5658">
        <w:rPr>
          <w:rFonts w:eastAsiaTheme="minorEastAsia"/>
          <w:i/>
          <w:iCs/>
          <w:color w:val="000000" w:themeColor="text1"/>
        </w:rPr>
        <w:t>(p</w:t>
      </w:r>
      <w:r w:rsidRPr="1C3C5658">
        <w:rPr>
          <w:rFonts w:eastAsiaTheme="minorEastAsia"/>
          <w:color w:val="000000" w:themeColor="text1"/>
        </w:rPr>
        <w:t xml:space="preserve"> = 0.</w:t>
      </w:r>
      <w:r w:rsidR="001B4FEB">
        <w:rPr>
          <w:rFonts w:eastAsiaTheme="minorEastAsia"/>
          <w:color w:val="000000" w:themeColor="text1"/>
        </w:rPr>
        <w:t>85</w:t>
      </w:r>
      <w:r w:rsidRPr="1C3C5658">
        <w:rPr>
          <w:rFonts w:eastAsiaTheme="minorEastAsia"/>
          <w:color w:val="000000" w:themeColor="text1"/>
        </w:rPr>
        <w:t>)</w:t>
      </w:r>
    </w:p>
    <w:p w14:paraId="33107063" w14:textId="77777777" w:rsidR="000A1FA2" w:rsidRDefault="000A1FA2" w:rsidP="00545FCB">
      <w:pPr>
        <w:spacing w:line="360" w:lineRule="auto"/>
        <w:rPr>
          <w:rFonts w:eastAsiaTheme="minorEastAsia"/>
          <w:b/>
          <w:bCs/>
          <w:color w:val="000000" w:themeColor="text1"/>
        </w:rPr>
      </w:pPr>
    </w:p>
    <w:p w14:paraId="493E5C72" w14:textId="0EAA41C5" w:rsidR="000A1FA2" w:rsidRDefault="000A1FA2" w:rsidP="00545FCB">
      <w:pPr>
        <w:spacing w:line="360" w:lineRule="auto"/>
        <w:rPr>
          <w:rFonts w:eastAsiaTheme="minorEastAsia"/>
          <w:b/>
          <w:bCs/>
          <w:color w:val="000000" w:themeColor="text1"/>
        </w:rPr>
      </w:pPr>
    </w:p>
    <w:p w14:paraId="34A9CBC7" w14:textId="6763AE2F" w:rsidR="00545FCB" w:rsidRDefault="00545FCB" w:rsidP="00545FCB">
      <w:pPr>
        <w:spacing w:line="360" w:lineRule="auto"/>
        <w:rPr>
          <w:rFonts w:eastAsiaTheme="minorEastAsia"/>
          <w:b/>
          <w:bCs/>
          <w:color w:val="000000" w:themeColor="text1"/>
        </w:rPr>
      </w:pPr>
    </w:p>
    <w:p w14:paraId="761E2CF8" w14:textId="7024FBEC" w:rsidR="00545FCB" w:rsidRDefault="00971733" w:rsidP="5F2FAE35">
      <w:pPr>
        <w:spacing w:line="360" w:lineRule="auto"/>
        <w:rPr>
          <w:rFonts w:eastAsiaTheme="minorEastAsia"/>
          <w:b/>
          <w:bCs/>
          <w:color w:val="000000" w:themeColor="text1"/>
        </w:rPr>
      </w:pPr>
      <w:r>
        <w:rPr>
          <w:rFonts w:eastAsiaTheme="minorEastAsia"/>
          <w:b/>
          <w:bCs/>
          <w:noProof/>
          <w:color w:val="000000" w:themeColor="text1"/>
          <w:lang w:eastAsia="en-GB"/>
        </w:rPr>
        <w:drawing>
          <wp:inline distT="0" distB="0" distL="0" distR="0" wp14:anchorId="793A653B" wp14:editId="79B3212F">
            <wp:extent cx="5731510" cy="2863215"/>
            <wp:effectExtent l="0" t="0" r="2540"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3215"/>
                    </a:xfrm>
                    <a:prstGeom prst="rect">
                      <a:avLst/>
                    </a:prstGeom>
                    <a:noFill/>
                    <a:ln>
                      <a:noFill/>
                    </a:ln>
                  </pic:spPr>
                </pic:pic>
              </a:graphicData>
            </a:graphic>
          </wp:inline>
        </w:drawing>
      </w:r>
    </w:p>
    <w:p w14:paraId="565BA5E5" w14:textId="77777777" w:rsidR="000F2729" w:rsidRDefault="000F2729" w:rsidP="5F2FAE35">
      <w:pPr>
        <w:spacing w:line="360" w:lineRule="auto"/>
        <w:rPr>
          <w:rFonts w:eastAsiaTheme="minorEastAsia"/>
          <w:b/>
          <w:bCs/>
          <w:color w:val="000000" w:themeColor="text1"/>
        </w:rPr>
      </w:pPr>
    </w:p>
    <w:p w14:paraId="79654539" w14:textId="104E7EEE" w:rsidR="52457684" w:rsidRPr="003410C3" w:rsidRDefault="7CCC44CC" w:rsidP="5F2FAE35">
      <w:pPr>
        <w:spacing w:line="360" w:lineRule="auto"/>
        <w:rPr>
          <w:rFonts w:eastAsiaTheme="minorEastAsia"/>
          <w:color w:val="000000" w:themeColor="text1"/>
        </w:rPr>
      </w:pPr>
      <w:r w:rsidRPr="5F2FAE35">
        <w:rPr>
          <w:rFonts w:eastAsiaTheme="minorEastAsia"/>
          <w:b/>
          <w:bCs/>
          <w:color w:val="000000" w:themeColor="text1"/>
        </w:rPr>
        <w:t xml:space="preserve">Supplementary </w:t>
      </w:r>
      <w:r w:rsidR="73135DE8" w:rsidRPr="5F2FAE35">
        <w:rPr>
          <w:rFonts w:eastAsiaTheme="minorEastAsia"/>
          <w:b/>
          <w:bCs/>
          <w:color w:val="000000" w:themeColor="text1"/>
        </w:rPr>
        <w:t>Figure S</w:t>
      </w:r>
      <w:r w:rsidR="781F1C3E" w:rsidRPr="5F2FAE35">
        <w:rPr>
          <w:rFonts w:eastAsiaTheme="minorEastAsia"/>
          <w:b/>
          <w:bCs/>
          <w:color w:val="000000" w:themeColor="text1"/>
        </w:rPr>
        <w:t>3</w:t>
      </w:r>
      <w:r w:rsidR="73135DE8" w:rsidRPr="5F2FAE35">
        <w:rPr>
          <w:rFonts w:eastAsiaTheme="minorEastAsia"/>
          <w:b/>
          <w:bCs/>
          <w:color w:val="000000" w:themeColor="text1"/>
        </w:rPr>
        <w:t xml:space="preserve">: </w:t>
      </w:r>
      <w:r w:rsidR="73135DE8" w:rsidRPr="5F2FAE35">
        <w:rPr>
          <w:rFonts w:eastAsiaTheme="minorEastAsia"/>
          <w:color w:val="000000" w:themeColor="text1"/>
        </w:rPr>
        <w:t xml:space="preserve">Meta-analysis with comorbid individuals </w:t>
      </w:r>
      <w:r w:rsidR="00EB17DA" w:rsidRPr="5F2FAE35">
        <w:rPr>
          <w:rFonts w:eastAsiaTheme="minorEastAsia"/>
          <w:color w:val="000000" w:themeColor="text1"/>
        </w:rPr>
        <w:t>included in the reading impairment</w:t>
      </w:r>
      <w:r w:rsidR="73135DE8" w:rsidRPr="5F2FAE35">
        <w:rPr>
          <w:rFonts w:eastAsiaTheme="minorEastAsia"/>
          <w:color w:val="000000" w:themeColor="text1"/>
        </w:rPr>
        <w:t xml:space="preserve"> group. Forest plot comparing the frequency of non-right handedness between </w:t>
      </w:r>
      <w:r w:rsidR="00EB17DA" w:rsidRPr="5F2FAE35">
        <w:rPr>
          <w:rFonts w:eastAsiaTheme="minorEastAsia"/>
          <w:color w:val="000000" w:themeColor="text1"/>
        </w:rPr>
        <w:t>individuals with reading/language impairment and controls</w:t>
      </w:r>
      <w:r w:rsidR="73135DE8" w:rsidRPr="5F2FAE35">
        <w:rPr>
          <w:rFonts w:eastAsiaTheme="minorEastAsia"/>
          <w:color w:val="000000" w:themeColor="text1"/>
        </w:rPr>
        <w:t xml:space="preserve">. The forest plot contains the Odds Ratio of Random effect estimates, 95% confidence interval and the weights </w:t>
      </w:r>
      <w:r w:rsidR="429C7657" w:rsidRPr="5F2FAE35">
        <w:rPr>
          <w:rFonts w:eastAsiaTheme="minorEastAsia"/>
          <w:color w:val="000000" w:themeColor="text1"/>
        </w:rPr>
        <w:t xml:space="preserve">(in percentage) </w:t>
      </w:r>
      <w:r w:rsidR="73135DE8" w:rsidRPr="5F2FAE35">
        <w:rPr>
          <w:rFonts w:eastAsiaTheme="minorEastAsia"/>
          <w:color w:val="000000" w:themeColor="text1"/>
        </w:rPr>
        <w:t>of each cohort. The meta-analys</w:t>
      </w:r>
      <w:r w:rsidR="44177B99" w:rsidRPr="5F2FAE35">
        <w:rPr>
          <w:rFonts w:eastAsiaTheme="minorEastAsia"/>
          <w:color w:val="000000" w:themeColor="text1"/>
        </w:rPr>
        <w:t>is</w:t>
      </w:r>
      <w:r w:rsidR="73135DE8" w:rsidRPr="5F2FAE35">
        <w:rPr>
          <w:rFonts w:eastAsiaTheme="minorEastAsia"/>
          <w:color w:val="000000" w:themeColor="text1"/>
        </w:rPr>
        <w:t xml:space="preserve"> result</w:t>
      </w:r>
      <w:r w:rsidR="2681827E" w:rsidRPr="5F2FAE35">
        <w:rPr>
          <w:rFonts w:eastAsiaTheme="minorEastAsia"/>
          <w:color w:val="000000" w:themeColor="text1"/>
        </w:rPr>
        <w:t xml:space="preserve"> </w:t>
      </w:r>
      <w:r w:rsidR="73135DE8" w:rsidRPr="5F2FAE35">
        <w:rPr>
          <w:rFonts w:eastAsiaTheme="minorEastAsia"/>
          <w:color w:val="000000" w:themeColor="text1"/>
        </w:rPr>
        <w:t xml:space="preserve">was </w:t>
      </w:r>
      <w:r w:rsidR="3F2E8121" w:rsidRPr="5F2FAE35">
        <w:rPr>
          <w:rFonts w:eastAsiaTheme="minorEastAsia"/>
          <w:color w:val="000000" w:themeColor="text1"/>
        </w:rPr>
        <w:t>OR = 1.2</w:t>
      </w:r>
      <w:r w:rsidR="0D47F8C5" w:rsidRPr="5F2FAE35">
        <w:rPr>
          <w:rFonts w:eastAsiaTheme="minorEastAsia"/>
          <w:color w:val="000000" w:themeColor="text1"/>
        </w:rPr>
        <w:t>1</w:t>
      </w:r>
      <w:r w:rsidR="3F2E8121" w:rsidRPr="5F2FAE35">
        <w:rPr>
          <w:rFonts w:eastAsiaTheme="minorEastAsia"/>
          <w:color w:val="000000" w:themeColor="text1"/>
        </w:rPr>
        <w:t xml:space="preserve">, CI = </w:t>
      </w:r>
      <w:r w:rsidR="26338CF4" w:rsidRPr="5F2FAE35">
        <w:rPr>
          <w:rFonts w:eastAsiaTheme="minorEastAsia"/>
          <w:color w:val="000000" w:themeColor="text1"/>
        </w:rPr>
        <w:t>1.0</w:t>
      </w:r>
      <w:r w:rsidR="00E44BD6">
        <w:rPr>
          <w:rFonts w:eastAsiaTheme="minorEastAsia"/>
          <w:color w:val="000000" w:themeColor="text1"/>
        </w:rPr>
        <w:t>5</w:t>
      </w:r>
      <w:r w:rsidR="3F2E8121" w:rsidRPr="5F2FAE35">
        <w:rPr>
          <w:rFonts w:eastAsiaTheme="minorEastAsia"/>
          <w:color w:val="000000" w:themeColor="text1"/>
        </w:rPr>
        <w:t xml:space="preserve"> - </w:t>
      </w:r>
      <w:r w:rsidR="623F3D3D" w:rsidRPr="5F2FAE35">
        <w:rPr>
          <w:rFonts w:eastAsiaTheme="minorEastAsia"/>
          <w:color w:val="000000" w:themeColor="text1"/>
        </w:rPr>
        <w:t>1.</w:t>
      </w:r>
      <w:r w:rsidR="54CFF34C" w:rsidRPr="5F2FAE35">
        <w:rPr>
          <w:rFonts w:eastAsiaTheme="minorEastAsia"/>
          <w:color w:val="000000" w:themeColor="text1"/>
        </w:rPr>
        <w:t>38</w:t>
      </w:r>
      <w:r w:rsidR="3F2E8121" w:rsidRPr="5F2FAE35">
        <w:rPr>
          <w:rFonts w:eastAsiaTheme="minorEastAsia"/>
          <w:color w:val="000000" w:themeColor="text1"/>
        </w:rPr>
        <w:t xml:space="preserve">, </w:t>
      </w:r>
      <w:r w:rsidR="3F2E8121" w:rsidRPr="5F2FAE35">
        <w:rPr>
          <w:rFonts w:eastAsiaTheme="minorEastAsia"/>
          <w:i/>
          <w:iCs/>
          <w:color w:val="000000" w:themeColor="text1"/>
        </w:rPr>
        <w:t>p</w:t>
      </w:r>
      <w:r w:rsidR="3F2E8121" w:rsidRPr="5F2FAE35">
        <w:rPr>
          <w:rFonts w:eastAsiaTheme="minorEastAsia"/>
          <w:color w:val="000000" w:themeColor="text1"/>
        </w:rPr>
        <w:t xml:space="preserve"> = 0.0</w:t>
      </w:r>
      <w:r w:rsidR="7E05D086" w:rsidRPr="5F2FAE35">
        <w:rPr>
          <w:rFonts w:eastAsiaTheme="minorEastAsia"/>
          <w:color w:val="000000" w:themeColor="text1"/>
        </w:rPr>
        <w:t>1</w:t>
      </w:r>
      <w:r w:rsidR="73135DE8" w:rsidRPr="5F2FAE35">
        <w:rPr>
          <w:rFonts w:eastAsiaTheme="minorEastAsia"/>
          <w:color w:val="000000" w:themeColor="text1"/>
        </w:rPr>
        <w:t xml:space="preserve">. </w:t>
      </w:r>
      <w:r w:rsidR="29295112" w:rsidRPr="5F2FAE35">
        <w:rPr>
          <w:rFonts w:eastAsiaTheme="minorEastAsia"/>
          <w:color w:val="000000" w:themeColor="text1"/>
        </w:rPr>
        <w:t xml:space="preserve">No heterogeneity was highlighted </w:t>
      </w:r>
      <w:r w:rsidR="29295112" w:rsidRPr="5F2FAE35">
        <w:rPr>
          <w:rFonts w:eastAsiaTheme="minorEastAsia"/>
          <w:i/>
          <w:iCs/>
          <w:color w:val="000000" w:themeColor="text1"/>
        </w:rPr>
        <w:t>(p</w:t>
      </w:r>
      <w:r w:rsidR="29295112" w:rsidRPr="5F2FAE35">
        <w:rPr>
          <w:rFonts w:eastAsiaTheme="minorEastAsia"/>
          <w:color w:val="000000" w:themeColor="text1"/>
        </w:rPr>
        <w:t xml:space="preserve"> = 0.</w:t>
      </w:r>
      <w:r w:rsidR="00FB3BA8">
        <w:rPr>
          <w:rFonts w:eastAsiaTheme="minorEastAsia"/>
          <w:color w:val="000000" w:themeColor="text1"/>
        </w:rPr>
        <w:t>7</w:t>
      </w:r>
      <w:r w:rsidR="009B492F">
        <w:rPr>
          <w:rFonts w:eastAsiaTheme="minorEastAsia"/>
          <w:color w:val="000000" w:themeColor="text1"/>
        </w:rPr>
        <w:t>9</w:t>
      </w:r>
      <w:r w:rsidR="29295112" w:rsidRPr="5F2FAE35">
        <w:rPr>
          <w:rFonts w:eastAsiaTheme="minorEastAsia"/>
          <w:color w:val="000000" w:themeColor="text1"/>
        </w:rPr>
        <w:t>)</w:t>
      </w:r>
      <w:r w:rsidR="29295112" w:rsidRPr="5F2FAE35">
        <w:rPr>
          <w:rFonts w:eastAsiaTheme="minorEastAsia"/>
          <w:i/>
          <w:iCs/>
          <w:color w:val="000000" w:themeColor="text1"/>
        </w:rPr>
        <w:t>.</w:t>
      </w:r>
      <w:r w:rsidR="29295112" w:rsidRPr="5F2FAE35">
        <w:rPr>
          <w:rFonts w:eastAsiaTheme="minorEastAsia"/>
          <w:color w:val="000000" w:themeColor="text1"/>
        </w:rPr>
        <w:t xml:space="preserve"> </w:t>
      </w:r>
      <w:r w:rsidR="7B986692" w:rsidRPr="5F2FAE35">
        <w:rPr>
          <w:rFonts w:eastAsiaTheme="minorEastAsia"/>
          <w:color w:val="000000" w:themeColor="text1"/>
        </w:rPr>
        <w:t>No funnel plot asymmetry was detected (</w:t>
      </w:r>
      <w:r w:rsidR="7B986692" w:rsidRPr="5F2FAE35">
        <w:rPr>
          <w:rFonts w:eastAsiaTheme="minorEastAsia"/>
          <w:i/>
          <w:iCs/>
          <w:color w:val="000000" w:themeColor="text1"/>
        </w:rPr>
        <w:t>p</w:t>
      </w:r>
      <w:r w:rsidR="7B986692" w:rsidRPr="5F2FAE35">
        <w:rPr>
          <w:rFonts w:eastAsiaTheme="minorEastAsia"/>
          <w:color w:val="000000" w:themeColor="text1"/>
        </w:rPr>
        <w:t xml:space="preserve"> = 0.</w:t>
      </w:r>
      <w:r w:rsidR="009B492F">
        <w:rPr>
          <w:rFonts w:eastAsiaTheme="minorEastAsia"/>
          <w:color w:val="000000" w:themeColor="text1"/>
        </w:rPr>
        <w:t>93</w:t>
      </w:r>
      <w:r w:rsidR="7B986692" w:rsidRPr="5F2FAE35">
        <w:rPr>
          <w:rFonts w:eastAsiaTheme="minorEastAsia"/>
          <w:color w:val="000000" w:themeColor="text1"/>
        </w:rPr>
        <w:t>).</w:t>
      </w:r>
      <w:r w:rsidR="29295112" w:rsidRPr="5F2FAE35">
        <w:rPr>
          <w:rFonts w:eastAsiaTheme="minorEastAsia"/>
          <w:color w:val="000000" w:themeColor="text1"/>
        </w:rPr>
        <w:t xml:space="preserve"> </w:t>
      </w:r>
      <w:r w:rsidR="73135DE8" w:rsidRPr="5F2FAE35">
        <w:rPr>
          <w:rFonts w:eastAsiaTheme="minorEastAsia"/>
          <w:color w:val="000000" w:themeColor="text1"/>
        </w:rPr>
        <w:t>See Supplementary Figure S</w:t>
      </w:r>
      <w:r w:rsidR="009B492F">
        <w:rPr>
          <w:rFonts w:eastAsiaTheme="minorEastAsia"/>
          <w:color w:val="000000" w:themeColor="text1"/>
        </w:rPr>
        <w:t>4</w:t>
      </w:r>
      <w:r w:rsidR="73135DE8" w:rsidRPr="5F2FAE35">
        <w:rPr>
          <w:rFonts w:eastAsiaTheme="minorEastAsia"/>
          <w:color w:val="000000" w:themeColor="text1"/>
        </w:rPr>
        <w:t xml:space="preserve"> for funnel plot.</w:t>
      </w:r>
      <w:r w:rsidR="1AF8612B" w:rsidRPr="5F2FAE35">
        <w:rPr>
          <w:rFonts w:eastAsiaTheme="minorEastAsia"/>
          <w:color w:val="000000" w:themeColor="text1"/>
        </w:rPr>
        <w:t xml:space="preserve"> Moderator analysis showed </w:t>
      </w:r>
      <w:r w:rsidR="3743D4FC" w:rsidRPr="5F2FAE35">
        <w:rPr>
          <w:rFonts w:eastAsiaTheme="minorEastAsia"/>
          <w:color w:val="000000" w:themeColor="text1"/>
        </w:rPr>
        <w:t xml:space="preserve">no </w:t>
      </w:r>
      <w:r w:rsidR="6867B20B" w:rsidRPr="5F2FAE35">
        <w:rPr>
          <w:rFonts w:eastAsiaTheme="minorEastAsia"/>
          <w:color w:val="000000" w:themeColor="text1"/>
        </w:rPr>
        <w:t xml:space="preserve">significant </w:t>
      </w:r>
      <w:r w:rsidR="3743D4FC" w:rsidRPr="5F2FAE35">
        <w:rPr>
          <w:rFonts w:eastAsiaTheme="minorEastAsia"/>
          <w:color w:val="000000" w:themeColor="text1"/>
        </w:rPr>
        <w:t>effects.</w:t>
      </w:r>
    </w:p>
    <w:p w14:paraId="510563B1" w14:textId="2F669625" w:rsidR="4103EC92" w:rsidRPr="003410C3" w:rsidRDefault="4103EC92" w:rsidP="00545FCB">
      <w:pPr>
        <w:spacing w:line="360" w:lineRule="auto"/>
        <w:rPr>
          <w:rFonts w:ascii="Calibri Light" w:eastAsia="Calibri Light" w:hAnsi="Calibri Light" w:cs="Calibri Light"/>
          <w:color w:val="000000" w:themeColor="text1"/>
          <w:sz w:val="22"/>
          <w:szCs w:val="22"/>
        </w:rPr>
      </w:pPr>
    </w:p>
    <w:p w14:paraId="26D1654E" w14:textId="74758576" w:rsidR="52457684" w:rsidRDefault="52457684" w:rsidP="00545FCB">
      <w:pPr>
        <w:spacing w:line="360" w:lineRule="auto"/>
        <w:rPr>
          <w:b/>
          <w:bCs/>
          <w:lang w:val="en-US"/>
        </w:rPr>
      </w:pPr>
    </w:p>
    <w:p w14:paraId="44FD0A13" w14:textId="0DA3A67E" w:rsidR="000F2729" w:rsidRDefault="00A842FA" w:rsidP="00545FCB">
      <w:pPr>
        <w:widowControl w:val="0"/>
        <w:autoSpaceDE w:val="0"/>
        <w:autoSpaceDN w:val="0"/>
        <w:adjustRightInd w:val="0"/>
        <w:spacing w:line="360" w:lineRule="auto"/>
        <w:rPr>
          <w:b/>
          <w:bCs/>
          <w:lang w:val="en-US"/>
        </w:rPr>
      </w:pPr>
      <w:r>
        <w:rPr>
          <w:b/>
          <w:bCs/>
          <w:noProof/>
          <w:lang w:eastAsia="en-GB"/>
        </w:rPr>
        <w:drawing>
          <wp:inline distT="0" distB="0" distL="0" distR="0" wp14:anchorId="70E06D66" wp14:editId="6B5C4CB1">
            <wp:extent cx="5731510" cy="3368040"/>
            <wp:effectExtent l="0" t="0" r="2540" b="381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368040"/>
                    </a:xfrm>
                    <a:prstGeom prst="rect">
                      <a:avLst/>
                    </a:prstGeom>
                    <a:noFill/>
                    <a:ln>
                      <a:noFill/>
                    </a:ln>
                  </pic:spPr>
                </pic:pic>
              </a:graphicData>
            </a:graphic>
          </wp:inline>
        </w:drawing>
      </w:r>
    </w:p>
    <w:p w14:paraId="0C68E282" w14:textId="77777777" w:rsidR="000F2729" w:rsidRDefault="000F2729" w:rsidP="00545FCB">
      <w:pPr>
        <w:widowControl w:val="0"/>
        <w:autoSpaceDE w:val="0"/>
        <w:autoSpaceDN w:val="0"/>
        <w:adjustRightInd w:val="0"/>
        <w:spacing w:line="360" w:lineRule="auto"/>
        <w:rPr>
          <w:b/>
          <w:bCs/>
          <w:lang w:val="en-US"/>
        </w:rPr>
      </w:pPr>
    </w:p>
    <w:p w14:paraId="56E6BA05" w14:textId="3038C1A0" w:rsidR="006104AE" w:rsidRDefault="6F13E22A" w:rsidP="00545FCB">
      <w:pPr>
        <w:widowControl w:val="0"/>
        <w:autoSpaceDE w:val="0"/>
        <w:autoSpaceDN w:val="0"/>
        <w:adjustRightInd w:val="0"/>
        <w:spacing w:line="360" w:lineRule="auto"/>
        <w:rPr>
          <w:lang w:val="en-US"/>
        </w:rPr>
      </w:pPr>
      <w:r w:rsidRPr="280D8D78">
        <w:rPr>
          <w:b/>
          <w:bCs/>
          <w:lang w:val="en-US"/>
        </w:rPr>
        <w:t>Supplementary Figure S</w:t>
      </w:r>
      <w:r w:rsidR="48051D78" w:rsidRPr="280D8D78">
        <w:rPr>
          <w:b/>
          <w:bCs/>
          <w:lang w:val="en-US"/>
        </w:rPr>
        <w:t>4</w:t>
      </w:r>
      <w:r w:rsidRPr="280D8D78">
        <w:rPr>
          <w:b/>
          <w:bCs/>
          <w:lang w:val="en-US"/>
        </w:rPr>
        <w:t>:</w:t>
      </w:r>
      <w:r w:rsidRPr="003410C3">
        <w:rPr>
          <w:lang w:val="en-US"/>
        </w:rPr>
        <w:t xml:space="preserve"> Funnel plot for handedness meta-analysis </w:t>
      </w:r>
      <w:r w:rsidR="0B2BD691" w:rsidRPr="003410C3">
        <w:rPr>
          <w:lang w:val="en-US"/>
        </w:rPr>
        <w:t xml:space="preserve">corresponding to Figure </w:t>
      </w:r>
      <w:r w:rsidR="0B2BD691" w:rsidRPr="10477AA3">
        <w:rPr>
          <w:lang w:val="en-US"/>
        </w:rPr>
        <w:t>S</w:t>
      </w:r>
      <w:r w:rsidR="3347E434" w:rsidRPr="10477AA3">
        <w:rPr>
          <w:lang w:val="en-US"/>
        </w:rPr>
        <w:t>3</w:t>
      </w:r>
      <w:r w:rsidR="0B2BD691" w:rsidRPr="003410C3">
        <w:rPr>
          <w:lang w:val="en-US"/>
        </w:rPr>
        <w:t>. C</w:t>
      </w:r>
      <w:r w:rsidRPr="003410C3">
        <w:rPr>
          <w:lang w:val="en-US"/>
        </w:rPr>
        <w:t xml:space="preserve">omorbid individuals </w:t>
      </w:r>
      <w:r w:rsidR="6D5B79C4" w:rsidRPr="003410C3">
        <w:rPr>
          <w:lang w:val="en-US"/>
        </w:rPr>
        <w:t xml:space="preserve">are </w:t>
      </w:r>
      <w:r w:rsidRPr="003410C3">
        <w:rPr>
          <w:lang w:val="en-US"/>
        </w:rPr>
        <w:t>included in the reading impaired group</w:t>
      </w:r>
    </w:p>
    <w:p w14:paraId="1EFD0D2C" w14:textId="77777777" w:rsidR="004A35E9" w:rsidRDefault="004A35E9" w:rsidP="00545FCB">
      <w:pPr>
        <w:widowControl w:val="0"/>
        <w:autoSpaceDE w:val="0"/>
        <w:autoSpaceDN w:val="0"/>
        <w:adjustRightInd w:val="0"/>
        <w:spacing w:line="360" w:lineRule="auto"/>
        <w:rPr>
          <w:lang w:val="en-US"/>
        </w:rPr>
      </w:pPr>
    </w:p>
    <w:p w14:paraId="42FFF313" w14:textId="77777777" w:rsidR="000F22EA" w:rsidRDefault="000F22EA" w:rsidP="00545FCB">
      <w:pPr>
        <w:widowControl w:val="0"/>
        <w:autoSpaceDE w:val="0"/>
        <w:autoSpaceDN w:val="0"/>
        <w:adjustRightInd w:val="0"/>
        <w:spacing w:line="360" w:lineRule="auto"/>
        <w:rPr>
          <w:lang w:val="en-US"/>
        </w:rPr>
      </w:pPr>
    </w:p>
    <w:p w14:paraId="20445B1D" w14:textId="77777777" w:rsidR="000F22EA" w:rsidRDefault="000F22EA" w:rsidP="00545FCB">
      <w:pPr>
        <w:widowControl w:val="0"/>
        <w:autoSpaceDE w:val="0"/>
        <w:autoSpaceDN w:val="0"/>
        <w:adjustRightInd w:val="0"/>
        <w:spacing w:line="360" w:lineRule="auto"/>
        <w:rPr>
          <w:lang w:val="en-US"/>
        </w:rPr>
      </w:pPr>
    </w:p>
    <w:p w14:paraId="17B28300" w14:textId="77777777" w:rsidR="00DE0D8E" w:rsidRDefault="00DE0D8E" w:rsidP="00545FCB">
      <w:pPr>
        <w:widowControl w:val="0"/>
        <w:autoSpaceDE w:val="0"/>
        <w:autoSpaceDN w:val="0"/>
        <w:adjustRightInd w:val="0"/>
        <w:spacing w:line="360" w:lineRule="auto"/>
        <w:rPr>
          <w:lang w:val="en-US"/>
        </w:rPr>
      </w:pPr>
    </w:p>
    <w:p w14:paraId="77E29150" w14:textId="77777777" w:rsidR="00DE0D8E" w:rsidRDefault="00DE0D8E" w:rsidP="00545FCB">
      <w:pPr>
        <w:widowControl w:val="0"/>
        <w:autoSpaceDE w:val="0"/>
        <w:autoSpaceDN w:val="0"/>
        <w:adjustRightInd w:val="0"/>
        <w:spacing w:line="360" w:lineRule="auto"/>
        <w:rPr>
          <w:lang w:val="en-US"/>
        </w:rPr>
      </w:pPr>
    </w:p>
    <w:p w14:paraId="3B0362F9" w14:textId="77777777" w:rsidR="00DE0D8E" w:rsidRDefault="00DE0D8E" w:rsidP="00545FCB">
      <w:pPr>
        <w:widowControl w:val="0"/>
        <w:autoSpaceDE w:val="0"/>
        <w:autoSpaceDN w:val="0"/>
        <w:adjustRightInd w:val="0"/>
        <w:spacing w:line="360" w:lineRule="auto"/>
        <w:rPr>
          <w:lang w:val="en-US"/>
        </w:rPr>
      </w:pPr>
    </w:p>
    <w:p w14:paraId="2B2B9647" w14:textId="557ACC68" w:rsidR="004A35E9" w:rsidRPr="00BC1375" w:rsidRDefault="000F22EA" w:rsidP="00545FCB">
      <w:pPr>
        <w:widowControl w:val="0"/>
        <w:autoSpaceDE w:val="0"/>
        <w:autoSpaceDN w:val="0"/>
        <w:adjustRightInd w:val="0"/>
        <w:spacing w:line="360" w:lineRule="auto"/>
        <w:rPr>
          <w:noProof/>
        </w:rPr>
      </w:pPr>
      <w:r>
        <w:rPr>
          <w:noProof/>
          <w:lang w:eastAsia="en-GB"/>
        </w:rPr>
        <w:drawing>
          <wp:inline distT="0" distB="0" distL="0" distR="0" wp14:anchorId="647EA798" wp14:editId="78305461">
            <wp:extent cx="5731510" cy="3029585"/>
            <wp:effectExtent l="0" t="0" r="254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029585"/>
                    </a:xfrm>
                    <a:prstGeom prst="rect">
                      <a:avLst/>
                    </a:prstGeom>
                    <a:noFill/>
                    <a:ln>
                      <a:noFill/>
                    </a:ln>
                  </pic:spPr>
                </pic:pic>
              </a:graphicData>
            </a:graphic>
          </wp:inline>
        </w:drawing>
      </w:r>
    </w:p>
    <w:p w14:paraId="4734D8C7" w14:textId="7B368A30" w:rsidR="006104AE" w:rsidRDefault="006104AE" w:rsidP="00545FCB">
      <w:pPr>
        <w:widowControl w:val="0"/>
        <w:autoSpaceDE w:val="0"/>
        <w:autoSpaceDN w:val="0"/>
        <w:adjustRightInd w:val="0"/>
        <w:spacing w:line="360" w:lineRule="auto"/>
        <w:rPr>
          <w:lang w:val="en-US"/>
        </w:rPr>
      </w:pPr>
    </w:p>
    <w:p w14:paraId="34B1333E" w14:textId="62637B54" w:rsidR="00177453" w:rsidRPr="00545FCB" w:rsidRDefault="00177453" w:rsidP="00177453">
      <w:pPr>
        <w:spacing w:line="360" w:lineRule="auto"/>
        <w:rPr>
          <w:rFonts w:eastAsiaTheme="minorEastAsia"/>
          <w:color w:val="000000" w:themeColor="text1"/>
        </w:rPr>
      </w:pPr>
      <w:r w:rsidRPr="1C3C5658">
        <w:rPr>
          <w:rFonts w:eastAsiaTheme="minorEastAsia"/>
          <w:b/>
          <w:bCs/>
          <w:color w:val="000000" w:themeColor="text1"/>
        </w:rPr>
        <w:t>Supplementary Figure S</w:t>
      </w:r>
      <w:r>
        <w:rPr>
          <w:rFonts w:eastAsiaTheme="minorEastAsia"/>
          <w:b/>
          <w:bCs/>
          <w:color w:val="000000" w:themeColor="text1"/>
        </w:rPr>
        <w:t>5</w:t>
      </w:r>
      <w:r w:rsidRPr="1C3C5658">
        <w:rPr>
          <w:rFonts w:eastAsiaTheme="minorEastAsia"/>
          <w:b/>
          <w:bCs/>
          <w:color w:val="000000" w:themeColor="text1"/>
        </w:rPr>
        <w:t xml:space="preserve">: </w:t>
      </w:r>
      <w:r w:rsidRPr="1C3C5658">
        <w:rPr>
          <w:rFonts w:eastAsiaTheme="minorEastAsia"/>
          <w:color w:val="000000" w:themeColor="text1"/>
        </w:rPr>
        <w:t xml:space="preserve">Meta-analysis after excluding the </w:t>
      </w:r>
      <w:r>
        <w:rPr>
          <w:rFonts w:eastAsiaTheme="minorEastAsia"/>
          <w:color w:val="000000" w:themeColor="text1"/>
        </w:rPr>
        <w:t xml:space="preserve">York </w:t>
      </w:r>
      <w:r w:rsidRPr="1C3C5658">
        <w:rPr>
          <w:rFonts w:eastAsiaTheme="minorEastAsia"/>
          <w:color w:val="000000" w:themeColor="text1"/>
        </w:rPr>
        <w:t>cohort. Forest plot comparing the frequency of non-right handedness between individuals with reading/language impairment and controls. The forest plot contains the Odds Ratio of Random effect estimates, 95% confidence interval and the weights (in percentage) of each cohort. The meta-analysis result was OR = 1.19, CI = 1.0</w:t>
      </w:r>
      <w:r>
        <w:rPr>
          <w:rFonts w:eastAsiaTheme="minorEastAsia"/>
          <w:color w:val="000000" w:themeColor="text1"/>
        </w:rPr>
        <w:t>3</w:t>
      </w:r>
      <w:r w:rsidRPr="1C3C5658">
        <w:rPr>
          <w:rFonts w:eastAsiaTheme="minorEastAsia"/>
          <w:color w:val="000000" w:themeColor="text1"/>
        </w:rPr>
        <w:t xml:space="preserve"> - 1.3</w:t>
      </w:r>
      <w:r>
        <w:rPr>
          <w:rFonts w:eastAsiaTheme="minorEastAsia"/>
          <w:color w:val="000000" w:themeColor="text1"/>
        </w:rPr>
        <w:t>8</w:t>
      </w:r>
      <w:r w:rsidRPr="1C3C5658">
        <w:rPr>
          <w:rFonts w:eastAsiaTheme="minorEastAsia"/>
          <w:color w:val="000000" w:themeColor="text1"/>
        </w:rPr>
        <w:t xml:space="preserve">, </w:t>
      </w:r>
      <w:r w:rsidRPr="1C3C5658">
        <w:rPr>
          <w:rFonts w:eastAsiaTheme="minorEastAsia"/>
          <w:i/>
          <w:iCs/>
          <w:color w:val="000000" w:themeColor="text1"/>
        </w:rPr>
        <w:t>p</w:t>
      </w:r>
      <w:r w:rsidRPr="1C3C5658">
        <w:rPr>
          <w:rFonts w:eastAsiaTheme="minorEastAsia"/>
          <w:color w:val="000000" w:themeColor="text1"/>
        </w:rPr>
        <w:t xml:space="preserve"> = 0.0</w:t>
      </w:r>
      <w:r>
        <w:rPr>
          <w:rFonts w:eastAsiaTheme="minorEastAsia"/>
          <w:color w:val="000000" w:themeColor="text1"/>
        </w:rPr>
        <w:t>2</w:t>
      </w:r>
      <w:r w:rsidRPr="1C3C5658">
        <w:rPr>
          <w:rFonts w:eastAsiaTheme="minorEastAsia"/>
          <w:color w:val="000000" w:themeColor="text1"/>
        </w:rPr>
        <w:t xml:space="preserve">. No heterogeneity was highlighted </w:t>
      </w:r>
      <w:r w:rsidRPr="1C3C5658">
        <w:rPr>
          <w:rFonts w:eastAsiaTheme="minorEastAsia"/>
          <w:i/>
          <w:iCs/>
          <w:color w:val="000000" w:themeColor="text1"/>
        </w:rPr>
        <w:t>(p</w:t>
      </w:r>
      <w:r w:rsidRPr="1C3C5658">
        <w:rPr>
          <w:rFonts w:eastAsiaTheme="minorEastAsia"/>
          <w:color w:val="000000" w:themeColor="text1"/>
        </w:rPr>
        <w:t xml:space="preserve"> = 0.</w:t>
      </w:r>
      <w:r w:rsidR="00761416">
        <w:rPr>
          <w:rFonts w:eastAsiaTheme="minorEastAsia"/>
          <w:color w:val="000000" w:themeColor="text1"/>
        </w:rPr>
        <w:t>73</w:t>
      </w:r>
      <w:r w:rsidRPr="1C3C5658">
        <w:rPr>
          <w:rFonts w:eastAsiaTheme="minorEastAsia"/>
          <w:color w:val="000000" w:themeColor="text1"/>
        </w:rPr>
        <w:t>)</w:t>
      </w:r>
      <w:r w:rsidR="00761416">
        <w:rPr>
          <w:rFonts w:eastAsiaTheme="minorEastAsia"/>
          <w:color w:val="000000" w:themeColor="text1"/>
        </w:rPr>
        <w:t>.</w:t>
      </w:r>
    </w:p>
    <w:p w14:paraId="0E1E1FA8" w14:textId="77777777" w:rsidR="00177453" w:rsidRDefault="00177453" w:rsidP="00545FCB">
      <w:pPr>
        <w:widowControl w:val="0"/>
        <w:autoSpaceDE w:val="0"/>
        <w:autoSpaceDN w:val="0"/>
        <w:adjustRightInd w:val="0"/>
        <w:spacing w:line="360" w:lineRule="auto"/>
        <w:rPr>
          <w:lang w:val="en-US"/>
        </w:rPr>
      </w:pPr>
    </w:p>
    <w:p w14:paraId="4AE75FCB" w14:textId="77777777" w:rsidR="0061716B" w:rsidRDefault="0061716B" w:rsidP="0061716B">
      <w:pPr>
        <w:widowControl w:val="0"/>
        <w:autoSpaceDE w:val="0"/>
        <w:autoSpaceDN w:val="0"/>
        <w:adjustRightInd w:val="0"/>
        <w:spacing w:line="360" w:lineRule="auto"/>
        <w:ind w:left="480" w:hanging="480"/>
        <w:rPr>
          <w:b/>
          <w:lang w:val="en-US"/>
        </w:rPr>
      </w:pPr>
    </w:p>
    <w:p w14:paraId="56757552" w14:textId="466C7C3F" w:rsidR="0061716B" w:rsidRDefault="0032101D" w:rsidP="0061716B">
      <w:pPr>
        <w:widowControl w:val="0"/>
        <w:autoSpaceDE w:val="0"/>
        <w:autoSpaceDN w:val="0"/>
        <w:adjustRightInd w:val="0"/>
        <w:spacing w:line="360" w:lineRule="auto"/>
        <w:ind w:left="480" w:hanging="480"/>
        <w:rPr>
          <w:b/>
          <w:lang w:val="en-US"/>
        </w:rPr>
      </w:pPr>
      <w:r w:rsidRPr="0032101D">
        <w:rPr>
          <w:b/>
          <w:lang w:val="en-US"/>
        </w:rPr>
        <w:t>Re</w:t>
      </w:r>
      <w:r w:rsidR="0061716B">
        <w:rPr>
          <w:b/>
          <w:lang w:val="en-US"/>
        </w:rPr>
        <w:t>ferences</w:t>
      </w:r>
    </w:p>
    <w:p w14:paraId="3E90487E" w14:textId="4908175F"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Pr>
          <w:b/>
          <w:lang w:val="en-US"/>
        </w:rPr>
        <w:fldChar w:fldCharType="begin" w:fldLock="1"/>
      </w:r>
      <w:r>
        <w:rPr>
          <w:b/>
          <w:lang w:val="en-US"/>
        </w:rPr>
        <w:instrText xml:space="preserve">ADDIN Mendeley Bibliography CSL_BIBLIOGRAPHY </w:instrText>
      </w:r>
      <w:r>
        <w:rPr>
          <w:b/>
          <w:lang w:val="en-US"/>
        </w:rPr>
        <w:fldChar w:fldCharType="separate"/>
      </w:r>
      <w:r w:rsidRPr="0061716B">
        <w:rPr>
          <w:rFonts w:ascii="Calibri" w:hAnsi="Calibri" w:cs="Calibri"/>
          <w:noProof/>
        </w:rPr>
        <w:t xml:space="preserve">Bishop, D. V. (1998). Development of the Children’s Communication Checklist (CCC): a method for assessing qualitative aspects of communicative impairment in children. </w:t>
      </w:r>
      <w:r w:rsidRPr="0061716B">
        <w:rPr>
          <w:rFonts w:ascii="Calibri" w:hAnsi="Calibri" w:cs="Calibri"/>
          <w:i/>
          <w:iCs/>
          <w:noProof/>
        </w:rPr>
        <w:t>J Child Psychol Psychiatry</w:t>
      </w:r>
      <w:r w:rsidRPr="0061716B">
        <w:rPr>
          <w:rFonts w:ascii="Calibri" w:hAnsi="Calibri" w:cs="Calibri"/>
          <w:noProof/>
        </w:rPr>
        <w:t xml:space="preserve">, </w:t>
      </w:r>
      <w:r w:rsidRPr="0061716B">
        <w:rPr>
          <w:rFonts w:ascii="Calibri" w:hAnsi="Calibri" w:cs="Calibri"/>
          <w:i/>
          <w:iCs/>
          <w:noProof/>
        </w:rPr>
        <w:t>39</w:t>
      </w:r>
      <w:r w:rsidRPr="0061716B">
        <w:rPr>
          <w:rFonts w:ascii="Calibri" w:hAnsi="Calibri" w:cs="Calibri"/>
          <w:noProof/>
        </w:rPr>
        <w:t>(6), 879–891. Retrieved from http://www.ncbi.nlm.nih.gov/entrez/query.fcgi?cmd=Retrieve&amp;db=PubMed&amp;dopt=Citation&amp;list_uids=9758196</w:t>
      </w:r>
    </w:p>
    <w:p w14:paraId="4039D9CC"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Bishop, D. V. (2003). </w:t>
      </w:r>
      <w:r w:rsidRPr="0061716B">
        <w:rPr>
          <w:rFonts w:ascii="Calibri" w:hAnsi="Calibri" w:cs="Calibri"/>
          <w:i/>
          <w:iCs/>
          <w:noProof/>
        </w:rPr>
        <w:t>Test for reception of grammar, version 2 (TROG—2)</w:t>
      </w:r>
      <w:r w:rsidRPr="0061716B">
        <w:rPr>
          <w:rFonts w:ascii="Calibri" w:hAnsi="Calibri" w:cs="Calibri"/>
          <w:noProof/>
        </w:rPr>
        <w:t xml:space="preserve">. </w:t>
      </w:r>
      <w:r w:rsidRPr="0061716B">
        <w:rPr>
          <w:rFonts w:ascii="Calibri" w:hAnsi="Calibri" w:cs="Calibri"/>
          <w:i/>
          <w:iCs/>
          <w:noProof/>
        </w:rPr>
        <w:t>Psychological Corporation</w:t>
      </w:r>
      <w:r w:rsidRPr="0061716B">
        <w:rPr>
          <w:rFonts w:ascii="Calibri" w:hAnsi="Calibri" w:cs="Calibri"/>
          <w:noProof/>
        </w:rPr>
        <w:t>. London, UK: Psychological Corporation.</w:t>
      </w:r>
    </w:p>
    <w:p w14:paraId="066540A7"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Conti-Ramsden, G., Crutchley, A., &amp; Botting, N. (1997). The Extent to Which Psychometric Tests Differentiate Subgroups of Children With SLI. </w:t>
      </w:r>
      <w:r w:rsidRPr="0061716B">
        <w:rPr>
          <w:rFonts w:ascii="Calibri" w:hAnsi="Calibri" w:cs="Calibri"/>
          <w:i/>
          <w:iCs/>
          <w:noProof/>
        </w:rPr>
        <w:t>Journal of Speech, Language, and Hearing Research</w:t>
      </w:r>
      <w:r w:rsidRPr="0061716B">
        <w:rPr>
          <w:rFonts w:ascii="Calibri" w:hAnsi="Calibri" w:cs="Calibri"/>
          <w:noProof/>
        </w:rPr>
        <w:t>. https://doi.org/10.1044/jslhr.4004.765</w:t>
      </w:r>
    </w:p>
    <w:p w14:paraId="756DFC77"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FD42F2">
        <w:rPr>
          <w:rFonts w:ascii="Calibri" w:hAnsi="Calibri" w:cs="Calibri"/>
          <w:noProof/>
          <w:lang w:val="it-IT"/>
        </w:rPr>
        <w:t xml:space="preserve">Culatta, B., Page, J. L., &amp; Ellis, J. (1983). </w:t>
      </w:r>
      <w:r w:rsidRPr="0061716B">
        <w:rPr>
          <w:rFonts w:ascii="Calibri" w:hAnsi="Calibri" w:cs="Calibri"/>
          <w:noProof/>
        </w:rPr>
        <w:t xml:space="preserve">Story Retelling as a Communicative Performance Screening Tool. </w:t>
      </w:r>
      <w:r w:rsidRPr="0061716B">
        <w:rPr>
          <w:rFonts w:ascii="Calibri" w:hAnsi="Calibri" w:cs="Calibri"/>
          <w:i/>
          <w:iCs/>
          <w:noProof/>
        </w:rPr>
        <w:t>Language, Speech, and Hearing Services in Schools</w:t>
      </w:r>
      <w:r w:rsidRPr="0061716B">
        <w:rPr>
          <w:rFonts w:ascii="Calibri" w:hAnsi="Calibri" w:cs="Calibri"/>
          <w:noProof/>
        </w:rPr>
        <w:t>. https://doi.org/10.1044/0161-1461.1402.66</w:t>
      </w:r>
    </w:p>
    <w:p w14:paraId="177B4B1B"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Foster, H. (2007). Single word reading test 6-16. </w:t>
      </w:r>
      <w:r w:rsidRPr="0061716B">
        <w:rPr>
          <w:rFonts w:ascii="Calibri" w:hAnsi="Calibri" w:cs="Calibri"/>
          <w:i/>
          <w:iCs/>
          <w:noProof/>
        </w:rPr>
        <w:t>Windsor: NFER-Nelson.</w:t>
      </w:r>
    </w:p>
    <w:p w14:paraId="6FFD179C"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Gathercole, S. E., Willis, C. S., Baddeley, A. D., &amp; Emslie, H. (1994). The Children’s Test of Nonword Repetition: a test of phonological working memory. </w:t>
      </w:r>
      <w:r w:rsidRPr="0061716B">
        <w:rPr>
          <w:rFonts w:ascii="Calibri" w:hAnsi="Calibri" w:cs="Calibri"/>
          <w:i/>
          <w:iCs/>
          <w:noProof/>
        </w:rPr>
        <w:t>Memory</w:t>
      </w:r>
      <w:r w:rsidRPr="0061716B">
        <w:rPr>
          <w:rFonts w:ascii="Calibri" w:hAnsi="Calibri" w:cs="Calibri"/>
          <w:noProof/>
        </w:rPr>
        <w:t xml:space="preserve">, </w:t>
      </w:r>
      <w:r w:rsidRPr="0061716B">
        <w:rPr>
          <w:rFonts w:ascii="Calibri" w:hAnsi="Calibri" w:cs="Calibri"/>
          <w:i/>
          <w:iCs/>
          <w:noProof/>
        </w:rPr>
        <w:t>2</w:t>
      </w:r>
      <w:r w:rsidRPr="0061716B">
        <w:rPr>
          <w:rFonts w:ascii="Calibri" w:hAnsi="Calibri" w:cs="Calibri"/>
          <w:noProof/>
        </w:rPr>
        <w:t>(2), 103–127. https://doi.org/10.1080/09658219408258940</w:t>
      </w:r>
    </w:p>
    <w:p w14:paraId="5B7F9C7A"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Hayiou-Thomas, M. E., Smith-Woolley, E., &amp; Dale, P. S. (2021). Breadth versus depth: Cumulative risk model and continuous measure prediction of poor language and reading outcomes at 12. </w:t>
      </w:r>
      <w:r w:rsidRPr="0061716B">
        <w:rPr>
          <w:rFonts w:ascii="Calibri" w:hAnsi="Calibri" w:cs="Calibri"/>
          <w:i/>
          <w:iCs/>
          <w:noProof/>
        </w:rPr>
        <w:t>Developmental Science</w:t>
      </w:r>
      <w:r w:rsidRPr="0061716B">
        <w:rPr>
          <w:rFonts w:ascii="Calibri" w:hAnsi="Calibri" w:cs="Calibri"/>
          <w:noProof/>
        </w:rPr>
        <w:t>. https://doi.org/10.1111/desc.12998</w:t>
      </w:r>
    </w:p>
    <w:p w14:paraId="49A2E83C"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Raven, J. C., Court, J. H., &amp; Raven, J. (1996). Manual for Raven’s Standard Progressive Matrices and vocabulary scales. </w:t>
      </w:r>
      <w:r w:rsidRPr="0061716B">
        <w:rPr>
          <w:rFonts w:ascii="Calibri" w:hAnsi="Calibri" w:cs="Calibri"/>
          <w:i/>
          <w:iCs/>
          <w:noProof/>
        </w:rPr>
        <w:t>1996</w:t>
      </w:r>
      <w:r w:rsidRPr="0061716B">
        <w:rPr>
          <w:rFonts w:ascii="Calibri" w:hAnsi="Calibri" w:cs="Calibri"/>
          <w:noProof/>
        </w:rPr>
        <w:t>.</w:t>
      </w:r>
    </w:p>
    <w:p w14:paraId="09B41F91"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Rust, J. (1996). </w:t>
      </w:r>
      <w:r w:rsidRPr="0061716B">
        <w:rPr>
          <w:rFonts w:ascii="Calibri" w:hAnsi="Calibri" w:cs="Calibri"/>
          <w:i/>
          <w:iCs/>
          <w:noProof/>
        </w:rPr>
        <w:t>WOLD Wechsler Objective Language Dimensions Manual</w:t>
      </w:r>
      <w:r w:rsidRPr="0061716B">
        <w:rPr>
          <w:rFonts w:ascii="Calibri" w:hAnsi="Calibri" w:cs="Calibri"/>
          <w:noProof/>
        </w:rPr>
        <w:t>. London, UK: he Psychological Corporation.</w:t>
      </w:r>
    </w:p>
    <w:p w14:paraId="5E2BA204"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Rust, J., Golombok, S., &amp; Trickey, G. (1993). </w:t>
      </w:r>
      <w:r w:rsidRPr="0061716B">
        <w:rPr>
          <w:rFonts w:ascii="Calibri" w:hAnsi="Calibri" w:cs="Calibri"/>
          <w:i/>
          <w:iCs/>
          <w:noProof/>
        </w:rPr>
        <w:t>WORD: Wechsler Objective Reading Dimensional Manual</w:t>
      </w:r>
      <w:r w:rsidRPr="0061716B">
        <w:rPr>
          <w:rFonts w:ascii="Calibri" w:hAnsi="Calibri" w:cs="Calibri"/>
          <w:noProof/>
        </w:rPr>
        <w:t>. Sidcup, UK: Psychological Corporation.</w:t>
      </w:r>
    </w:p>
    <w:p w14:paraId="4AF350F7"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Schulte-Körne, G., Deimel, W., Müller, K., Gutenbrunner, C., &amp; Remschmidt, H. (1996). Familial aggregation of spelling disability. </w:t>
      </w:r>
      <w:r w:rsidRPr="0061716B">
        <w:rPr>
          <w:rFonts w:ascii="Calibri" w:hAnsi="Calibri" w:cs="Calibri"/>
          <w:i/>
          <w:iCs/>
          <w:noProof/>
        </w:rPr>
        <w:t>Journal of Child Psychology and Psychiatry and Allied Disciplines</w:t>
      </w:r>
      <w:r w:rsidRPr="0061716B">
        <w:rPr>
          <w:rFonts w:ascii="Calibri" w:hAnsi="Calibri" w:cs="Calibri"/>
          <w:noProof/>
        </w:rPr>
        <w:t>. https://doi.org/10.1111/j.1469-7610.1996.tb01477.x</w:t>
      </w:r>
    </w:p>
    <w:p w14:paraId="7375E194"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Semel, E. m., Wiig, E. H., &amp; Secord, W. (1992). </w:t>
      </w:r>
      <w:r w:rsidRPr="0061716B">
        <w:rPr>
          <w:rFonts w:ascii="Calibri" w:hAnsi="Calibri" w:cs="Calibri"/>
          <w:i/>
          <w:iCs/>
          <w:noProof/>
        </w:rPr>
        <w:t>Clinical Evaluation of Language Fundamentals-Revised</w:t>
      </w:r>
      <w:r w:rsidRPr="0061716B">
        <w:rPr>
          <w:rFonts w:ascii="Calibri" w:hAnsi="Calibri" w:cs="Calibri"/>
          <w:noProof/>
        </w:rPr>
        <w:t>. San Antonio: Psychological Corporation.</w:t>
      </w:r>
    </w:p>
    <w:p w14:paraId="0C5BE068"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Semel, E., Wiig, E. H., &amp; Secord, W. (1995). Clinical Evaluation of Language Fundamentals, Third Edition. </w:t>
      </w:r>
      <w:r w:rsidRPr="0061716B">
        <w:rPr>
          <w:rFonts w:ascii="Calibri" w:hAnsi="Calibri" w:cs="Calibri"/>
          <w:i/>
          <w:iCs/>
          <w:noProof/>
        </w:rPr>
        <w:t>The Psychological Corporation</w:t>
      </w:r>
      <w:r w:rsidRPr="0061716B">
        <w:rPr>
          <w:rFonts w:ascii="Calibri" w:hAnsi="Calibri" w:cs="Calibri"/>
          <w:noProof/>
        </w:rPr>
        <w:t>.</w:t>
      </w:r>
    </w:p>
    <w:p w14:paraId="3BBCB027"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Thomson, M. E. (1982). The assessment of children with specific reading difficulties (dyslexia) using the British Ability Scales. </w:t>
      </w:r>
      <w:r w:rsidRPr="0061716B">
        <w:rPr>
          <w:rFonts w:ascii="Calibri" w:hAnsi="Calibri" w:cs="Calibri"/>
          <w:i/>
          <w:iCs/>
          <w:noProof/>
        </w:rPr>
        <w:t>Br J Psychol</w:t>
      </w:r>
      <w:r w:rsidRPr="0061716B">
        <w:rPr>
          <w:rFonts w:ascii="Calibri" w:hAnsi="Calibri" w:cs="Calibri"/>
          <w:noProof/>
        </w:rPr>
        <w:t xml:space="preserve">, </w:t>
      </w:r>
      <w:r w:rsidRPr="0061716B">
        <w:rPr>
          <w:rFonts w:ascii="Calibri" w:hAnsi="Calibri" w:cs="Calibri"/>
          <w:i/>
          <w:iCs/>
          <w:noProof/>
        </w:rPr>
        <w:t>73</w:t>
      </w:r>
      <w:r w:rsidRPr="0061716B">
        <w:rPr>
          <w:rFonts w:ascii="Calibri" w:hAnsi="Calibri" w:cs="Calibri"/>
          <w:noProof/>
        </w:rPr>
        <w:t>(Pt 4), 461–478. Retrieved from http://www.ncbi.nlm.nih.gov/entrez/query.fcgi?cmd=Retrieve&amp;db=PubMed&amp;dopt=Citation&amp;list_uids=7171921</w:t>
      </w:r>
    </w:p>
    <w:p w14:paraId="50BE8EC0"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Wechsler, D. (2005). </w:t>
      </w:r>
      <w:r w:rsidRPr="0061716B">
        <w:rPr>
          <w:rFonts w:ascii="Calibri" w:hAnsi="Calibri" w:cs="Calibri"/>
          <w:i/>
          <w:iCs/>
          <w:noProof/>
        </w:rPr>
        <w:t>Wechsler Individual Achievement Test (WIAT-II UK)</w:t>
      </w:r>
      <w:r w:rsidRPr="0061716B">
        <w:rPr>
          <w:rFonts w:ascii="Calibri" w:hAnsi="Calibri" w:cs="Calibri"/>
          <w:noProof/>
        </w:rPr>
        <w:t xml:space="preserve">. </w:t>
      </w:r>
      <w:r w:rsidRPr="0061716B">
        <w:rPr>
          <w:rFonts w:ascii="Calibri" w:hAnsi="Calibri" w:cs="Calibri"/>
          <w:i/>
          <w:iCs/>
          <w:noProof/>
        </w:rPr>
        <w:t>WIAT-II UK</w:t>
      </w:r>
      <w:r w:rsidRPr="0061716B">
        <w:rPr>
          <w:rFonts w:ascii="Calibri" w:hAnsi="Calibri" w:cs="Calibri"/>
          <w:noProof/>
        </w:rPr>
        <w:t>.</w:t>
      </w:r>
    </w:p>
    <w:p w14:paraId="397739A3"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Wechsler, D. (2012). Wechsler preschool and primary scale of intelligence—fourth edition. </w:t>
      </w:r>
      <w:r w:rsidRPr="0061716B">
        <w:rPr>
          <w:rFonts w:ascii="Calibri" w:hAnsi="Calibri" w:cs="Calibri"/>
          <w:i/>
          <w:iCs/>
          <w:noProof/>
        </w:rPr>
        <w:t>The Psychological Corporation San Antonio, TX</w:t>
      </w:r>
      <w:r w:rsidRPr="0061716B">
        <w:rPr>
          <w:rFonts w:ascii="Calibri" w:hAnsi="Calibri" w:cs="Calibri"/>
          <w:noProof/>
        </w:rPr>
        <w:t>.</w:t>
      </w:r>
    </w:p>
    <w:p w14:paraId="2DEAEC8C"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Wechsler, D., Golombok, S., &amp; Rust, J. (1992). </w:t>
      </w:r>
      <w:r w:rsidRPr="0061716B">
        <w:rPr>
          <w:rFonts w:ascii="Calibri" w:hAnsi="Calibri" w:cs="Calibri"/>
          <w:i/>
          <w:iCs/>
          <w:noProof/>
        </w:rPr>
        <w:t>WISC-IIIUK: Wechsler Intelligence Scale for Children.</w:t>
      </w:r>
      <w:r w:rsidRPr="0061716B">
        <w:rPr>
          <w:rFonts w:ascii="Calibri" w:hAnsi="Calibri" w:cs="Calibri"/>
          <w:noProof/>
        </w:rPr>
        <w:t xml:space="preserve"> Sidcup, UK: The Psycological Corporation.</w:t>
      </w:r>
    </w:p>
    <w:p w14:paraId="28817188"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Weiß RH. (1998). Grundintelligenztest Skala 2. CFT-20 [Culture Fair Intelligence Test]. </w:t>
      </w:r>
      <w:r w:rsidRPr="0061716B">
        <w:rPr>
          <w:rFonts w:ascii="Calibri" w:hAnsi="Calibri" w:cs="Calibri"/>
          <w:i/>
          <w:iCs/>
          <w:noProof/>
        </w:rPr>
        <w:t>Göttingen, Germany: Hogrefe</w:t>
      </w:r>
      <w:r w:rsidRPr="0061716B">
        <w:rPr>
          <w:rFonts w:ascii="Calibri" w:hAnsi="Calibri" w:cs="Calibri"/>
          <w:noProof/>
        </w:rPr>
        <w:t>.</w:t>
      </w:r>
    </w:p>
    <w:p w14:paraId="08ED2A81"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Wilkinson, G. (1993). Wide Range Achievement Test WRAT. </w:t>
      </w:r>
      <w:r w:rsidRPr="0061716B">
        <w:rPr>
          <w:rFonts w:ascii="Calibri" w:hAnsi="Calibri" w:cs="Calibri"/>
          <w:i/>
          <w:iCs/>
          <w:noProof/>
        </w:rPr>
        <w:t>Wide Range Inc</w:t>
      </w:r>
      <w:r w:rsidRPr="0061716B">
        <w:rPr>
          <w:rFonts w:ascii="Calibri" w:hAnsi="Calibri" w:cs="Calibri"/>
          <w:noProof/>
        </w:rPr>
        <w:t>.</w:t>
      </w:r>
    </w:p>
    <w:p w14:paraId="0D843DE8" w14:textId="77777777" w:rsidR="0061716B" w:rsidRPr="0061716B" w:rsidRDefault="0061716B" w:rsidP="0061716B">
      <w:pPr>
        <w:widowControl w:val="0"/>
        <w:autoSpaceDE w:val="0"/>
        <w:autoSpaceDN w:val="0"/>
        <w:adjustRightInd w:val="0"/>
        <w:spacing w:line="360" w:lineRule="auto"/>
        <w:ind w:left="480" w:hanging="480"/>
        <w:rPr>
          <w:rFonts w:ascii="Calibri" w:hAnsi="Calibri" w:cs="Calibri"/>
          <w:noProof/>
        </w:rPr>
      </w:pPr>
      <w:r w:rsidRPr="0061716B">
        <w:rPr>
          <w:rFonts w:ascii="Calibri" w:hAnsi="Calibri" w:cs="Calibri"/>
          <w:noProof/>
        </w:rPr>
        <w:t xml:space="preserve">Woodcock, R. W. (1987). </w:t>
      </w:r>
      <w:r w:rsidRPr="0061716B">
        <w:rPr>
          <w:rFonts w:ascii="Calibri" w:hAnsi="Calibri" w:cs="Calibri"/>
          <w:i/>
          <w:iCs/>
          <w:noProof/>
        </w:rPr>
        <w:t>Woodcock reading mastery tests-revised</w:t>
      </w:r>
      <w:r w:rsidRPr="0061716B">
        <w:rPr>
          <w:rFonts w:ascii="Calibri" w:hAnsi="Calibri" w:cs="Calibri"/>
          <w:noProof/>
        </w:rPr>
        <w:t>. American Guidance Service Circle Pines, MN.</w:t>
      </w:r>
    </w:p>
    <w:p w14:paraId="76605DFA" w14:textId="2DC6CC6E" w:rsidR="0032101D" w:rsidRPr="0032101D" w:rsidRDefault="0061716B" w:rsidP="00545FCB">
      <w:pPr>
        <w:widowControl w:val="0"/>
        <w:autoSpaceDE w:val="0"/>
        <w:autoSpaceDN w:val="0"/>
        <w:adjustRightInd w:val="0"/>
        <w:spacing w:line="360" w:lineRule="auto"/>
        <w:rPr>
          <w:b/>
          <w:lang w:val="en-US"/>
        </w:rPr>
      </w:pPr>
      <w:r>
        <w:rPr>
          <w:b/>
          <w:lang w:val="en-US"/>
        </w:rPr>
        <w:fldChar w:fldCharType="end"/>
      </w:r>
    </w:p>
    <w:sectPr w:rsidR="0032101D" w:rsidRPr="0032101D" w:rsidSect="00B32F6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32EC" w16cex:dateUtc="2022-12-08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D9830" w16cid:durableId="273C32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CCAE" w14:textId="77777777" w:rsidR="00E818DA" w:rsidRDefault="00E818DA" w:rsidP="00B32F6F">
      <w:r>
        <w:separator/>
      </w:r>
    </w:p>
  </w:endnote>
  <w:endnote w:type="continuationSeparator" w:id="0">
    <w:p w14:paraId="038FE928" w14:textId="77777777" w:rsidR="00E818DA" w:rsidRDefault="00E818DA" w:rsidP="00B32F6F">
      <w:r>
        <w:continuationSeparator/>
      </w:r>
    </w:p>
  </w:endnote>
  <w:endnote w:type="continuationNotice" w:id="1">
    <w:p w14:paraId="18F91CE5" w14:textId="77777777" w:rsidR="00E818DA" w:rsidRDefault="00E81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526B" w14:textId="796CB849" w:rsidR="003C42B4" w:rsidRPr="009E1976" w:rsidRDefault="003C42B4">
    <w:pPr>
      <w:pStyle w:val="Footer"/>
      <w:jc w:val="center"/>
      <w:rPr>
        <w:caps/>
        <w:noProof/>
        <w:color w:val="000000" w:themeColor="text1"/>
      </w:rPr>
    </w:pPr>
    <w:r w:rsidRPr="009E1976">
      <w:rPr>
        <w:caps/>
        <w:color w:val="000000" w:themeColor="text1"/>
      </w:rPr>
      <w:fldChar w:fldCharType="begin"/>
    </w:r>
    <w:r w:rsidRPr="009E1976">
      <w:rPr>
        <w:caps/>
        <w:color w:val="000000" w:themeColor="text1"/>
      </w:rPr>
      <w:instrText xml:space="preserve"> PAGE   \* MERGEFORMAT </w:instrText>
    </w:r>
    <w:r w:rsidRPr="009E1976">
      <w:rPr>
        <w:caps/>
        <w:color w:val="000000" w:themeColor="text1"/>
      </w:rPr>
      <w:fldChar w:fldCharType="separate"/>
    </w:r>
    <w:r w:rsidR="000B4383">
      <w:rPr>
        <w:caps/>
        <w:noProof/>
        <w:color w:val="000000" w:themeColor="text1"/>
      </w:rPr>
      <w:t>12</w:t>
    </w:r>
    <w:r w:rsidRPr="009E1976">
      <w:rPr>
        <w:caps/>
        <w:noProof/>
        <w:color w:val="000000" w:themeColor="text1"/>
      </w:rPr>
      <w:fldChar w:fldCharType="end"/>
    </w:r>
  </w:p>
  <w:p w14:paraId="6F450D62" w14:textId="77777777" w:rsidR="003C42B4" w:rsidRPr="009E1976" w:rsidRDefault="003C42B4">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4A42" w14:textId="77777777" w:rsidR="00E818DA" w:rsidRDefault="00E818DA" w:rsidP="00B32F6F">
      <w:r>
        <w:separator/>
      </w:r>
    </w:p>
  </w:footnote>
  <w:footnote w:type="continuationSeparator" w:id="0">
    <w:p w14:paraId="60118933" w14:textId="77777777" w:rsidR="00E818DA" w:rsidRDefault="00E818DA" w:rsidP="00B32F6F">
      <w:r>
        <w:continuationSeparator/>
      </w:r>
    </w:p>
  </w:footnote>
  <w:footnote w:type="continuationNotice" w:id="1">
    <w:p w14:paraId="14F34A43" w14:textId="77777777" w:rsidR="00E818DA" w:rsidRDefault="00E818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AANzS0NzMwsjMwslHaXg1OLizPw8kAIjo1oA84JUQi0AAAA="/>
  </w:docVars>
  <w:rsids>
    <w:rsidRoot w:val="006A1C7C"/>
    <w:rsid w:val="00003DFB"/>
    <w:rsid w:val="000061DC"/>
    <w:rsid w:val="0001134F"/>
    <w:rsid w:val="00012DB9"/>
    <w:rsid w:val="00015135"/>
    <w:rsid w:val="00022F1E"/>
    <w:rsid w:val="00024860"/>
    <w:rsid w:val="00035996"/>
    <w:rsid w:val="00045C0C"/>
    <w:rsid w:val="00054655"/>
    <w:rsid w:val="00056A36"/>
    <w:rsid w:val="000613FA"/>
    <w:rsid w:val="00062B1C"/>
    <w:rsid w:val="00063BE3"/>
    <w:rsid w:val="00067839"/>
    <w:rsid w:val="00072C85"/>
    <w:rsid w:val="0008230A"/>
    <w:rsid w:val="00085D5A"/>
    <w:rsid w:val="00091A41"/>
    <w:rsid w:val="000A1FA2"/>
    <w:rsid w:val="000A59A2"/>
    <w:rsid w:val="000A60AC"/>
    <w:rsid w:val="000B28E4"/>
    <w:rsid w:val="000B4383"/>
    <w:rsid w:val="000B466F"/>
    <w:rsid w:val="000B76A6"/>
    <w:rsid w:val="000C318A"/>
    <w:rsid w:val="000D06DD"/>
    <w:rsid w:val="000D19E9"/>
    <w:rsid w:val="000D2962"/>
    <w:rsid w:val="000D31A8"/>
    <w:rsid w:val="000D5092"/>
    <w:rsid w:val="000D5D60"/>
    <w:rsid w:val="000E23E5"/>
    <w:rsid w:val="000E3326"/>
    <w:rsid w:val="000E6C4C"/>
    <w:rsid w:val="000E70C9"/>
    <w:rsid w:val="000F22EA"/>
    <w:rsid w:val="000F2729"/>
    <w:rsid w:val="000F7EBF"/>
    <w:rsid w:val="0010157D"/>
    <w:rsid w:val="00101B25"/>
    <w:rsid w:val="001020F4"/>
    <w:rsid w:val="001106FA"/>
    <w:rsid w:val="00110846"/>
    <w:rsid w:val="001164AF"/>
    <w:rsid w:val="00117952"/>
    <w:rsid w:val="00117E85"/>
    <w:rsid w:val="00133440"/>
    <w:rsid w:val="00137F58"/>
    <w:rsid w:val="00142B12"/>
    <w:rsid w:val="00145C58"/>
    <w:rsid w:val="001527F0"/>
    <w:rsid w:val="001568E1"/>
    <w:rsid w:val="00162ED3"/>
    <w:rsid w:val="00166DE4"/>
    <w:rsid w:val="0017362B"/>
    <w:rsid w:val="00176DBE"/>
    <w:rsid w:val="00176FDC"/>
    <w:rsid w:val="00177453"/>
    <w:rsid w:val="00177B60"/>
    <w:rsid w:val="00182F8E"/>
    <w:rsid w:val="00183350"/>
    <w:rsid w:val="001A1741"/>
    <w:rsid w:val="001A19AC"/>
    <w:rsid w:val="001A1F84"/>
    <w:rsid w:val="001A3339"/>
    <w:rsid w:val="001A5604"/>
    <w:rsid w:val="001B025F"/>
    <w:rsid w:val="001B4FEB"/>
    <w:rsid w:val="001C11D6"/>
    <w:rsid w:val="001C2EEB"/>
    <w:rsid w:val="001C33BA"/>
    <w:rsid w:val="001C4820"/>
    <w:rsid w:val="001C560D"/>
    <w:rsid w:val="001D0F37"/>
    <w:rsid w:val="001D7A6F"/>
    <w:rsid w:val="001E1A62"/>
    <w:rsid w:val="001E5ACD"/>
    <w:rsid w:val="001F1904"/>
    <w:rsid w:val="001F5052"/>
    <w:rsid w:val="002014E6"/>
    <w:rsid w:val="0020293F"/>
    <w:rsid w:val="00210943"/>
    <w:rsid w:val="00211B6B"/>
    <w:rsid w:val="002122F2"/>
    <w:rsid w:val="00214BAF"/>
    <w:rsid w:val="0021642D"/>
    <w:rsid w:val="00217D84"/>
    <w:rsid w:val="00230B96"/>
    <w:rsid w:val="00234FF1"/>
    <w:rsid w:val="0024394B"/>
    <w:rsid w:val="00247736"/>
    <w:rsid w:val="0025208D"/>
    <w:rsid w:val="00253B81"/>
    <w:rsid w:val="00253F68"/>
    <w:rsid w:val="00254005"/>
    <w:rsid w:val="00254159"/>
    <w:rsid w:val="00254E93"/>
    <w:rsid w:val="00257444"/>
    <w:rsid w:val="00262BC0"/>
    <w:rsid w:val="00263CE3"/>
    <w:rsid w:val="002648A2"/>
    <w:rsid w:val="00264DF3"/>
    <w:rsid w:val="00267153"/>
    <w:rsid w:val="00271A41"/>
    <w:rsid w:val="00272E06"/>
    <w:rsid w:val="00274D30"/>
    <w:rsid w:val="002778D0"/>
    <w:rsid w:val="00282EEB"/>
    <w:rsid w:val="002846F5"/>
    <w:rsid w:val="00284A89"/>
    <w:rsid w:val="002913B5"/>
    <w:rsid w:val="00294955"/>
    <w:rsid w:val="002A0894"/>
    <w:rsid w:val="002A09C1"/>
    <w:rsid w:val="002A58A2"/>
    <w:rsid w:val="002B00DC"/>
    <w:rsid w:val="002C09C2"/>
    <w:rsid w:val="002C124E"/>
    <w:rsid w:val="002C19B3"/>
    <w:rsid w:val="002C22C8"/>
    <w:rsid w:val="002C457C"/>
    <w:rsid w:val="002C45E5"/>
    <w:rsid w:val="002C5F64"/>
    <w:rsid w:val="002C7B5E"/>
    <w:rsid w:val="002D05FE"/>
    <w:rsid w:val="002D2D2E"/>
    <w:rsid w:val="002D78D4"/>
    <w:rsid w:val="002F3D9D"/>
    <w:rsid w:val="002F4A5C"/>
    <w:rsid w:val="00302DA0"/>
    <w:rsid w:val="0030620F"/>
    <w:rsid w:val="00312798"/>
    <w:rsid w:val="003129F5"/>
    <w:rsid w:val="00314527"/>
    <w:rsid w:val="0032101D"/>
    <w:rsid w:val="003214E0"/>
    <w:rsid w:val="00322985"/>
    <w:rsid w:val="00322A70"/>
    <w:rsid w:val="003231F6"/>
    <w:rsid w:val="00326CB4"/>
    <w:rsid w:val="00340547"/>
    <w:rsid w:val="003410C3"/>
    <w:rsid w:val="00341568"/>
    <w:rsid w:val="00347B59"/>
    <w:rsid w:val="00353FE8"/>
    <w:rsid w:val="00354F35"/>
    <w:rsid w:val="00356016"/>
    <w:rsid w:val="00357149"/>
    <w:rsid w:val="00360D5D"/>
    <w:rsid w:val="00372FA5"/>
    <w:rsid w:val="0037384F"/>
    <w:rsid w:val="003832C1"/>
    <w:rsid w:val="00386C07"/>
    <w:rsid w:val="00391D32"/>
    <w:rsid w:val="003925FA"/>
    <w:rsid w:val="003929C3"/>
    <w:rsid w:val="0039436A"/>
    <w:rsid w:val="003A7412"/>
    <w:rsid w:val="003B1A1D"/>
    <w:rsid w:val="003B2F3E"/>
    <w:rsid w:val="003C42B4"/>
    <w:rsid w:val="003D0A3E"/>
    <w:rsid w:val="003D4829"/>
    <w:rsid w:val="003E6175"/>
    <w:rsid w:val="003F0A89"/>
    <w:rsid w:val="003F159D"/>
    <w:rsid w:val="003F2D1A"/>
    <w:rsid w:val="003F5954"/>
    <w:rsid w:val="003F6DC7"/>
    <w:rsid w:val="0040017F"/>
    <w:rsid w:val="00401737"/>
    <w:rsid w:val="0040291D"/>
    <w:rsid w:val="00405533"/>
    <w:rsid w:val="00413552"/>
    <w:rsid w:val="00414B4E"/>
    <w:rsid w:val="0042557E"/>
    <w:rsid w:val="004261EF"/>
    <w:rsid w:val="0043302C"/>
    <w:rsid w:val="00434BE8"/>
    <w:rsid w:val="00441A21"/>
    <w:rsid w:val="004470A0"/>
    <w:rsid w:val="00450544"/>
    <w:rsid w:val="00450AEA"/>
    <w:rsid w:val="004516E8"/>
    <w:rsid w:val="00452D2B"/>
    <w:rsid w:val="00453793"/>
    <w:rsid w:val="00474E78"/>
    <w:rsid w:val="00476FE1"/>
    <w:rsid w:val="00480FEF"/>
    <w:rsid w:val="00486A19"/>
    <w:rsid w:val="004903FE"/>
    <w:rsid w:val="004A25DC"/>
    <w:rsid w:val="004A35E9"/>
    <w:rsid w:val="004A4968"/>
    <w:rsid w:val="004A55E2"/>
    <w:rsid w:val="004B42F0"/>
    <w:rsid w:val="004B4B00"/>
    <w:rsid w:val="004C1648"/>
    <w:rsid w:val="004C3E2B"/>
    <w:rsid w:val="004C540E"/>
    <w:rsid w:val="004C733D"/>
    <w:rsid w:val="004E16F4"/>
    <w:rsid w:val="004E2061"/>
    <w:rsid w:val="004E47C5"/>
    <w:rsid w:val="004F4956"/>
    <w:rsid w:val="004F5352"/>
    <w:rsid w:val="004F703F"/>
    <w:rsid w:val="00504451"/>
    <w:rsid w:val="00506A45"/>
    <w:rsid w:val="00507293"/>
    <w:rsid w:val="00517A4B"/>
    <w:rsid w:val="00523580"/>
    <w:rsid w:val="00525C92"/>
    <w:rsid w:val="0052605B"/>
    <w:rsid w:val="00526800"/>
    <w:rsid w:val="0052790C"/>
    <w:rsid w:val="00545FCB"/>
    <w:rsid w:val="005506B7"/>
    <w:rsid w:val="00562BC6"/>
    <w:rsid w:val="00574AF3"/>
    <w:rsid w:val="005837FE"/>
    <w:rsid w:val="005909EA"/>
    <w:rsid w:val="005A13EC"/>
    <w:rsid w:val="005A1C33"/>
    <w:rsid w:val="005B621C"/>
    <w:rsid w:val="005C08DF"/>
    <w:rsid w:val="005C0B37"/>
    <w:rsid w:val="005C52CA"/>
    <w:rsid w:val="005D402A"/>
    <w:rsid w:val="005E1E90"/>
    <w:rsid w:val="005E33E4"/>
    <w:rsid w:val="005E647F"/>
    <w:rsid w:val="005F0219"/>
    <w:rsid w:val="005F1991"/>
    <w:rsid w:val="005F2DEE"/>
    <w:rsid w:val="005F40B2"/>
    <w:rsid w:val="005F615B"/>
    <w:rsid w:val="00601482"/>
    <w:rsid w:val="00603960"/>
    <w:rsid w:val="0060463C"/>
    <w:rsid w:val="006104AE"/>
    <w:rsid w:val="0061716B"/>
    <w:rsid w:val="00620BD3"/>
    <w:rsid w:val="00621807"/>
    <w:rsid w:val="00624DA7"/>
    <w:rsid w:val="00627482"/>
    <w:rsid w:val="00630103"/>
    <w:rsid w:val="0063073D"/>
    <w:rsid w:val="00633422"/>
    <w:rsid w:val="00634E52"/>
    <w:rsid w:val="00636D62"/>
    <w:rsid w:val="00640CE7"/>
    <w:rsid w:val="006451CA"/>
    <w:rsid w:val="00645A32"/>
    <w:rsid w:val="00652472"/>
    <w:rsid w:val="00662CB6"/>
    <w:rsid w:val="0066701F"/>
    <w:rsid w:val="00667A04"/>
    <w:rsid w:val="006703F5"/>
    <w:rsid w:val="00670D24"/>
    <w:rsid w:val="00671D49"/>
    <w:rsid w:val="00672A26"/>
    <w:rsid w:val="0068073F"/>
    <w:rsid w:val="006963AA"/>
    <w:rsid w:val="006A1C7C"/>
    <w:rsid w:val="006A35CF"/>
    <w:rsid w:val="006A6AB6"/>
    <w:rsid w:val="006B0092"/>
    <w:rsid w:val="006B3ECF"/>
    <w:rsid w:val="006C3BCE"/>
    <w:rsid w:val="006C4B0C"/>
    <w:rsid w:val="006C54D0"/>
    <w:rsid w:val="006C799F"/>
    <w:rsid w:val="006D08C7"/>
    <w:rsid w:val="006EF7E5"/>
    <w:rsid w:val="006F3F30"/>
    <w:rsid w:val="00703D88"/>
    <w:rsid w:val="00707C98"/>
    <w:rsid w:val="00710305"/>
    <w:rsid w:val="0071042B"/>
    <w:rsid w:val="00710C5E"/>
    <w:rsid w:val="007119CC"/>
    <w:rsid w:val="00714C55"/>
    <w:rsid w:val="00715712"/>
    <w:rsid w:val="00716F53"/>
    <w:rsid w:val="00720B69"/>
    <w:rsid w:val="0072336A"/>
    <w:rsid w:val="0072476D"/>
    <w:rsid w:val="007306E6"/>
    <w:rsid w:val="00735028"/>
    <w:rsid w:val="00735EFD"/>
    <w:rsid w:val="00737C64"/>
    <w:rsid w:val="0074180D"/>
    <w:rsid w:val="00742810"/>
    <w:rsid w:val="007448D5"/>
    <w:rsid w:val="0074581F"/>
    <w:rsid w:val="00750F13"/>
    <w:rsid w:val="0075141A"/>
    <w:rsid w:val="00754B30"/>
    <w:rsid w:val="007553FC"/>
    <w:rsid w:val="007565D5"/>
    <w:rsid w:val="00756B07"/>
    <w:rsid w:val="00761416"/>
    <w:rsid w:val="00762A0B"/>
    <w:rsid w:val="007638E0"/>
    <w:rsid w:val="007659A0"/>
    <w:rsid w:val="00766B0C"/>
    <w:rsid w:val="00775E5C"/>
    <w:rsid w:val="00777240"/>
    <w:rsid w:val="00780F05"/>
    <w:rsid w:val="00781F76"/>
    <w:rsid w:val="00791522"/>
    <w:rsid w:val="00795718"/>
    <w:rsid w:val="007A5354"/>
    <w:rsid w:val="007B1D37"/>
    <w:rsid w:val="007B1FD5"/>
    <w:rsid w:val="007B2562"/>
    <w:rsid w:val="007B47CC"/>
    <w:rsid w:val="007B5C6E"/>
    <w:rsid w:val="007C1941"/>
    <w:rsid w:val="007C6BF3"/>
    <w:rsid w:val="007D2415"/>
    <w:rsid w:val="007D26FA"/>
    <w:rsid w:val="007E5804"/>
    <w:rsid w:val="007F071C"/>
    <w:rsid w:val="007F2590"/>
    <w:rsid w:val="007F6703"/>
    <w:rsid w:val="0080015E"/>
    <w:rsid w:val="00804455"/>
    <w:rsid w:val="00804EA2"/>
    <w:rsid w:val="00813BC4"/>
    <w:rsid w:val="00817C98"/>
    <w:rsid w:val="00823FE1"/>
    <w:rsid w:val="00824972"/>
    <w:rsid w:val="008301DB"/>
    <w:rsid w:val="00831CAF"/>
    <w:rsid w:val="00834556"/>
    <w:rsid w:val="00835C90"/>
    <w:rsid w:val="00843C4F"/>
    <w:rsid w:val="00843E91"/>
    <w:rsid w:val="008450E1"/>
    <w:rsid w:val="00852134"/>
    <w:rsid w:val="008550A2"/>
    <w:rsid w:val="00860C67"/>
    <w:rsid w:val="00866775"/>
    <w:rsid w:val="00870DD7"/>
    <w:rsid w:val="00871351"/>
    <w:rsid w:val="0088168F"/>
    <w:rsid w:val="008848FC"/>
    <w:rsid w:val="0089375F"/>
    <w:rsid w:val="00893984"/>
    <w:rsid w:val="008A0638"/>
    <w:rsid w:val="008A236F"/>
    <w:rsid w:val="008A439E"/>
    <w:rsid w:val="008A5407"/>
    <w:rsid w:val="008B1145"/>
    <w:rsid w:val="008D110C"/>
    <w:rsid w:val="008D1CDA"/>
    <w:rsid w:val="008D2477"/>
    <w:rsid w:val="008E0DF7"/>
    <w:rsid w:val="008E55E8"/>
    <w:rsid w:val="008F1479"/>
    <w:rsid w:val="008F6A73"/>
    <w:rsid w:val="008F740B"/>
    <w:rsid w:val="00907F1D"/>
    <w:rsid w:val="0091319F"/>
    <w:rsid w:val="0092652D"/>
    <w:rsid w:val="00941365"/>
    <w:rsid w:val="00944E6D"/>
    <w:rsid w:val="00945DDB"/>
    <w:rsid w:val="0094667F"/>
    <w:rsid w:val="00954A6A"/>
    <w:rsid w:val="009653C6"/>
    <w:rsid w:val="009656E2"/>
    <w:rsid w:val="009663A8"/>
    <w:rsid w:val="00967CBD"/>
    <w:rsid w:val="00967E2E"/>
    <w:rsid w:val="00970900"/>
    <w:rsid w:val="0097120A"/>
    <w:rsid w:val="00971733"/>
    <w:rsid w:val="009821BF"/>
    <w:rsid w:val="00983E50"/>
    <w:rsid w:val="00984C28"/>
    <w:rsid w:val="009872A3"/>
    <w:rsid w:val="00994B84"/>
    <w:rsid w:val="009A02C5"/>
    <w:rsid w:val="009A0AFE"/>
    <w:rsid w:val="009A2175"/>
    <w:rsid w:val="009A4A22"/>
    <w:rsid w:val="009A5316"/>
    <w:rsid w:val="009B06EB"/>
    <w:rsid w:val="009B1CAA"/>
    <w:rsid w:val="009B32A1"/>
    <w:rsid w:val="009B4244"/>
    <w:rsid w:val="009B492F"/>
    <w:rsid w:val="009B62EA"/>
    <w:rsid w:val="009C14FD"/>
    <w:rsid w:val="009C3391"/>
    <w:rsid w:val="009C4130"/>
    <w:rsid w:val="009D2182"/>
    <w:rsid w:val="009E0EBD"/>
    <w:rsid w:val="009E1976"/>
    <w:rsid w:val="009E7AC6"/>
    <w:rsid w:val="009F105C"/>
    <w:rsid w:val="009F2B7F"/>
    <w:rsid w:val="009F3AE8"/>
    <w:rsid w:val="009F436B"/>
    <w:rsid w:val="009F73B4"/>
    <w:rsid w:val="00A01776"/>
    <w:rsid w:val="00A07B42"/>
    <w:rsid w:val="00A1134E"/>
    <w:rsid w:val="00A115BF"/>
    <w:rsid w:val="00A14E93"/>
    <w:rsid w:val="00A1626F"/>
    <w:rsid w:val="00A23669"/>
    <w:rsid w:val="00A27316"/>
    <w:rsid w:val="00A320B8"/>
    <w:rsid w:val="00A34FD4"/>
    <w:rsid w:val="00A3764B"/>
    <w:rsid w:val="00A40FF5"/>
    <w:rsid w:val="00A41182"/>
    <w:rsid w:val="00A42AF9"/>
    <w:rsid w:val="00A437BD"/>
    <w:rsid w:val="00A438D6"/>
    <w:rsid w:val="00A43958"/>
    <w:rsid w:val="00A46DBA"/>
    <w:rsid w:val="00A4779C"/>
    <w:rsid w:val="00A5680D"/>
    <w:rsid w:val="00A57EE6"/>
    <w:rsid w:val="00A63CAB"/>
    <w:rsid w:val="00A70EE6"/>
    <w:rsid w:val="00A72D5C"/>
    <w:rsid w:val="00A83494"/>
    <w:rsid w:val="00A842FA"/>
    <w:rsid w:val="00A9004C"/>
    <w:rsid w:val="00A9018C"/>
    <w:rsid w:val="00A90696"/>
    <w:rsid w:val="00A94C81"/>
    <w:rsid w:val="00AA5BDE"/>
    <w:rsid w:val="00AB217D"/>
    <w:rsid w:val="00AC06E7"/>
    <w:rsid w:val="00AC1C04"/>
    <w:rsid w:val="00AC1D62"/>
    <w:rsid w:val="00AC2440"/>
    <w:rsid w:val="00AC3BCB"/>
    <w:rsid w:val="00AD30C7"/>
    <w:rsid w:val="00AD5411"/>
    <w:rsid w:val="00AE3344"/>
    <w:rsid w:val="00AF02F1"/>
    <w:rsid w:val="00AF050C"/>
    <w:rsid w:val="00AF7122"/>
    <w:rsid w:val="00B0230B"/>
    <w:rsid w:val="00B02B2E"/>
    <w:rsid w:val="00B06BB5"/>
    <w:rsid w:val="00B12209"/>
    <w:rsid w:val="00B13E41"/>
    <w:rsid w:val="00B172ED"/>
    <w:rsid w:val="00B230AB"/>
    <w:rsid w:val="00B32F6F"/>
    <w:rsid w:val="00B3301C"/>
    <w:rsid w:val="00B34D22"/>
    <w:rsid w:val="00B45671"/>
    <w:rsid w:val="00B63721"/>
    <w:rsid w:val="00B67524"/>
    <w:rsid w:val="00B70B71"/>
    <w:rsid w:val="00B711FF"/>
    <w:rsid w:val="00B72CCE"/>
    <w:rsid w:val="00B73312"/>
    <w:rsid w:val="00B73D1C"/>
    <w:rsid w:val="00B830A7"/>
    <w:rsid w:val="00B859DF"/>
    <w:rsid w:val="00B87D69"/>
    <w:rsid w:val="00B87FF3"/>
    <w:rsid w:val="00B91E31"/>
    <w:rsid w:val="00B9258B"/>
    <w:rsid w:val="00B94069"/>
    <w:rsid w:val="00B942E7"/>
    <w:rsid w:val="00B95D1C"/>
    <w:rsid w:val="00B96608"/>
    <w:rsid w:val="00B96CCA"/>
    <w:rsid w:val="00B9760E"/>
    <w:rsid w:val="00B977FF"/>
    <w:rsid w:val="00BA132C"/>
    <w:rsid w:val="00BA4A70"/>
    <w:rsid w:val="00BB40C7"/>
    <w:rsid w:val="00BB4939"/>
    <w:rsid w:val="00BC0264"/>
    <w:rsid w:val="00BC1375"/>
    <w:rsid w:val="00BC4E43"/>
    <w:rsid w:val="00BD415E"/>
    <w:rsid w:val="00BE4E1B"/>
    <w:rsid w:val="00BE58E9"/>
    <w:rsid w:val="00BE73C9"/>
    <w:rsid w:val="00BF22AC"/>
    <w:rsid w:val="00BF3C7F"/>
    <w:rsid w:val="00BF4E6F"/>
    <w:rsid w:val="00BF578C"/>
    <w:rsid w:val="00C01739"/>
    <w:rsid w:val="00C219B2"/>
    <w:rsid w:val="00C22EF5"/>
    <w:rsid w:val="00C23135"/>
    <w:rsid w:val="00C246FA"/>
    <w:rsid w:val="00C26A3B"/>
    <w:rsid w:val="00C37833"/>
    <w:rsid w:val="00C378CD"/>
    <w:rsid w:val="00C37F2C"/>
    <w:rsid w:val="00C463D3"/>
    <w:rsid w:val="00C47F98"/>
    <w:rsid w:val="00C5233C"/>
    <w:rsid w:val="00C5720E"/>
    <w:rsid w:val="00C6323F"/>
    <w:rsid w:val="00C63870"/>
    <w:rsid w:val="00C67D38"/>
    <w:rsid w:val="00C735B9"/>
    <w:rsid w:val="00C77DA8"/>
    <w:rsid w:val="00C851D5"/>
    <w:rsid w:val="00C9059F"/>
    <w:rsid w:val="00CA5E2E"/>
    <w:rsid w:val="00CB71F9"/>
    <w:rsid w:val="00CC095F"/>
    <w:rsid w:val="00CC5A3F"/>
    <w:rsid w:val="00CD1520"/>
    <w:rsid w:val="00CE2628"/>
    <w:rsid w:val="00CE5EBF"/>
    <w:rsid w:val="00CE7ABA"/>
    <w:rsid w:val="00CF0C88"/>
    <w:rsid w:val="00D00082"/>
    <w:rsid w:val="00D01158"/>
    <w:rsid w:val="00D06483"/>
    <w:rsid w:val="00D06DFE"/>
    <w:rsid w:val="00D12B13"/>
    <w:rsid w:val="00D1771D"/>
    <w:rsid w:val="00D201FE"/>
    <w:rsid w:val="00D21B66"/>
    <w:rsid w:val="00D223B8"/>
    <w:rsid w:val="00D26E92"/>
    <w:rsid w:val="00D332E0"/>
    <w:rsid w:val="00D34313"/>
    <w:rsid w:val="00D34315"/>
    <w:rsid w:val="00D4354E"/>
    <w:rsid w:val="00D63756"/>
    <w:rsid w:val="00D64B75"/>
    <w:rsid w:val="00D754A4"/>
    <w:rsid w:val="00D81332"/>
    <w:rsid w:val="00D842A7"/>
    <w:rsid w:val="00D8485B"/>
    <w:rsid w:val="00D856C4"/>
    <w:rsid w:val="00D8637E"/>
    <w:rsid w:val="00D92168"/>
    <w:rsid w:val="00D9305D"/>
    <w:rsid w:val="00D94D62"/>
    <w:rsid w:val="00D96E9C"/>
    <w:rsid w:val="00DA1025"/>
    <w:rsid w:val="00DB7F77"/>
    <w:rsid w:val="00DC2741"/>
    <w:rsid w:val="00DC4212"/>
    <w:rsid w:val="00DC43A4"/>
    <w:rsid w:val="00DD6905"/>
    <w:rsid w:val="00DE0D8E"/>
    <w:rsid w:val="00DE4AFF"/>
    <w:rsid w:val="00DE7895"/>
    <w:rsid w:val="00DF6EF1"/>
    <w:rsid w:val="00E007CC"/>
    <w:rsid w:val="00E0307F"/>
    <w:rsid w:val="00E04C13"/>
    <w:rsid w:val="00E13078"/>
    <w:rsid w:val="00E153ED"/>
    <w:rsid w:val="00E1627F"/>
    <w:rsid w:val="00E263C2"/>
    <w:rsid w:val="00E30D12"/>
    <w:rsid w:val="00E31DE8"/>
    <w:rsid w:val="00E44BD6"/>
    <w:rsid w:val="00E47E19"/>
    <w:rsid w:val="00E506A8"/>
    <w:rsid w:val="00E5579E"/>
    <w:rsid w:val="00E5795A"/>
    <w:rsid w:val="00E61D30"/>
    <w:rsid w:val="00E64C09"/>
    <w:rsid w:val="00E73912"/>
    <w:rsid w:val="00E818DA"/>
    <w:rsid w:val="00E86F60"/>
    <w:rsid w:val="00E90E96"/>
    <w:rsid w:val="00E92844"/>
    <w:rsid w:val="00EA27BB"/>
    <w:rsid w:val="00EA4980"/>
    <w:rsid w:val="00EA6930"/>
    <w:rsid w:val="00EB17DA"/>
    <w:rsid w:val="00EB2F90"/>
    <w:rsid w:val="00EB54F1"/>
    <w:rsid w:val="00EC0BE5"/>
    <w:rsid w:val="00EC14E4"/>
    <w:rsid w:val="00EC25F8"/>
    <w:rsid w:val="00EC430B"/>
    <w:rsid w:val="00EC70CA"/>
    <w:rsid w:val="00EC7F67"/>
    <w:rsid w:val="00ED2BF1"/>
    <w:rsid w:val="00ED55B7"/>
    <w:rsid w:val="00ED5682"/>
    <w:rsid w:val="00EE18E4"/>
    <w:rsid w:val="00EE429D"/>
    <w:rsid w:val="00EF08CB"/>
    <w:rsid w:val="00EF4FA4"/>
    <w:rsid w:val="00EF69CC"/>
    <w:rsid w:val="00F127C7"/>
    <w:rsid w:val="00F20C92"/>
    <w:rsid w:val="00F26F04"/>
    <w:rsid w:val="00F33FB8"/>
    <w:rsid w:val="00F55170"/>
    <w:rsid w:val="00F563CD"/>
    <w:rsid w:val="00F57261"/>
    <w:rsid w:val="00F578D4"/>
    <w:rsid w:val="00F63071"/>
    <w:rsid w:val="00F63D25"/>
    <w:rsid w:val="00F643DF"/>
    <w:rsid w:val="00F64CD2"/>
    <w:rsid w:val="00F6772E"/>
    <w:rsid w:val="00F7181D"/>
    <w:rsid w:val="00F72388"/>
    <w:rsid w:val="00F73B74"/>
    <w:rsid w:val="00F7436E"/>
    <w:rsid w:val="00F76C15"/>
    <w:rsid w:val="00F814B0"/>
    <w:rsid w:val="00FA5316"/>
    <w:rsid w:val="00FA723F"/>
    <w:rsid w:val="00FB3BA8"/>
    <w:rsid w:val="00FB418C"/>
    <w:rsid w:val="00FC0979"/>
    <w:rsid w:val="00FC15E8"/>
    <w:rsid w:val="00FC4EC7"/>
    <w:rsid w:val="00FD1930"/>
    <w:rsid w:val="00FD1FF1"/>
    <w:rsid w:val="00FD309B"/>
    <w:rsid w:val="00FD33DE"/>
    <w:rsid w:val="00FD3A3B"/>
    <w:rsid w:val="00FD42F2"/>
    <w:rsid w:val="00FD4BCC"/>
    <w:rsid w:val="00FD4E0A"/>
    <w:rsid w:val="00FD5FFA"/>
    <w:rsid w:val="00FE28A6"/>
    <w:rsid w:val="00FE2BFF"/>
    <w:rsid w:val="00FE3C94"/>
    <w:rsid w:val="00FE4B2C"/>
    <w:rsid w:val="00FE6D32"/>
    <w:rsid w:val="00FF0A43"/>
    <w:rsid w:val="00FF6FD5"/>
    <w:rsid w:val="00FF7E77"/>
    <w:rsid w:val="01AA7567"/>
    <w:rsid w:val="01AF45D9"/>
    <w:rsid w:val="029BD883"/>
    <w:rsid w:val="029D3381"/>
    <w:rsid w:val="02B60105"/>
    <w:rsid w:val="02CBA1E7"/>
    <w:rsid w:val="02F8F4A6"/>
    <w:rsid w:val="033A3327"/>
    <w:rsid w:val="033A8DD2"/>
    <w:rsid w:val="03690C8A"/>
    <w:rsid w:val="0373814D"/>
    <w:rsid w:val="03F089E4"/>
    <w:rsid w:val="03F78CD7"/>
    <w:rsid w:val="0408C7CB"/>
    <w:rsid w:val="0436342B"/>
    <w:rsid w:val="043F945F"/>
    <w:rsid w:val="047537C9"/>
    <w:rsid w:val="04825EF0"/>
    <w:rsid w:val="04A515D1"/>
    <w:rsid w:val="04DC5674"/>
    <w:rsid w:val="0501FAF0"/>
    <w:rsid w:val="0515B31B"/>
    <w:rsid w:val="052C60AA"/>
    <w:rsid w:val="0534F83F"/>
    <w:rsid w:val="053DEC7C"/>
    <w:rsid w:val="054CA94F"/>
    <w:rsid w:val="05C312C6"/>
    <w:rsid w:val="05E893F5"/>
    <w:rsid w:val="060E089B"/>
    <w:rsid w:val="061BC694"/>
    <w:rsid w:val="062753A1"/>
    <w:rsid w:val="06FC0D74"/>
    <w:rsid w:val="071A2270"/>
    <w:rsid w:val="072B490E"/>
    <w:rsid w:val="07BD77ED"/>
    <w:rsid w:val="07E3525C"/>
    <w:rsid w:val="08618311"/>
    <w:rsid w:val="0885FC90"/>
    <w:rsid w:val="08CBA87D"/>
    <w:rsid w:val="0949C6B6"/>
    <w:rsid w:val="094CE533"/>
    <w:rsid w:val="09586E6E"/>
    <w:rsid w:val="095C73D9"/>
    <w:rsid w:val="097C1FE3"/>
    <w:rsid w:val="09E4DA34"/>
    <w:rsid w:val="09F60B70"/>
    <w:rsid w:val="0A6B5767"/>
    <w:rsid w:val="0AA1B668"/>
    <w:rsid w:val="0AF5444A"/>
    <w:rsid w:val="0B2BD691"/>
    <w:rsid w:val="0B5D0EDF"/>
    <w:rsid w:val="0BE759BE"/>
    <w:rsid w:val="0BF1046E"/>
    <w:rsid w:val="0C022F9A"/>
    <w:rsid w:val="0C191DCB"/>
    <w:rsid w:val="0C3E7C52"/>
    <w:rsid w:val="0C6F465C"/>
    <w:rsid w:val="0CE01B1D"/>
    <w:rsid w:val="0D2162DD"/>
    <w:rsid w:val="0D3D96B8"/>
    <w:rsid w:val="0D3F5043"/>
    <w:rsid w:val="0D47F8C5"/>
    <w:rsid w:val="0D78798B"/>
    <w:rsid w:val="0D84D79E"/>
    <w:rsid w:val="0DDBD21D"/>
    <w:rsid w:val="0E6FC288"/>
    <w:rsid w:val="0E9FA8F2"/>
    <w:rsid w:val="0ECE997E"/>
    <w:rsid w:val="0EF08379"/>
    <w:rsid w:val="0F2F4975"/>
    <w:rsid w:val="0F3FAF77"/>
    <w:rsid w:val="0F8E908A"/>
    <w:rsid w:val="0FDB1C0F"/>
    <w:rsid w:val="10477AA3"/>
    <w:rsid w:val="1048D47E"/>
    <w:rsid w:val="109855E4"/>
    <w:rsid w:val="10BAA311"/>
    <w:rsid w:val="10BB72E5"/>
    <w:rsid w:val="11A74852"/>
    <w:rsid w:val="11C9BE00"/>
    <w:rsid w:val="13184443"/>
    <w:rsid w:val="1319570E"/>
    <w:rsid w:val="134318B3"/>
    <w:rsid w:val="13449086"/>
    <w:rsid w:val="1356F7D3"/>
    <w:rsid w:val="1361BEA8"/>
    <w:rsid w:val="136D1202"/>
    <w:rsid w:val="13B76EB7"/>
    <w:rsid w:val="13C36354"/>
    <w:rsid w:val="13F23739"/>
    <w:rsid w:val="13F91150"/>
    <w:rsid w:val="13FDEE14"/>
    <w:rsid w:val="14607491"/>
    <w:rsid w:val="148ADE77"/>
    <w:rsid w:val="14E0E39F"/>
    <w:rsid w:val="14E31875"/>
    <w:rsid w:val="153A6223"/>
    <w:rsid w:val="15407653"/>
    <w:rsid w:val="15BAD3F4"/>
    <w:rsid w:val="15BC0FF8"/>
    <w:rsid w:val="15F76443"/>
    <w:rsid w:val="167ABA26"/>
    <w:rsid w:val="16B617CF"/>
    <w:rsid w:val="16B7E440"/>
    <w:rsid w:val="16DB329A"/>
    <w:rsid w:val="1723D7B7"/>
    <w:rsid w:val="173D5006"/>
    <w:rsid w:val="17681B28"/>
    <w:rsid w:val="1777847E"/>
    <w:rsid w:val="17BD9BAD"/>
    <w:rsid w:val="17ED4AFA"/>
    <w:rsid w:val="17F97C10"/>
    <w:rsid w:val="1815873C"/>
    <w:rsid w:val="182D62DB"/>
    <w:rsid w:val="1882F7FD"/>
    <w:rsid w:val="18BADE20"/>
    <w:rsid w:val="191B43BC"/>
    <w:rsid w:val="194821FD"/>
    <w:rsid w:val="19815A2B"/>
    <w:rsid w:val="19E90AAC"/>
    <w:rsid w:val="1A096A3A"/>
    <w:rsid w:val="1A390EC2"/>
    <w:rsid w:val="1A8335B7"/>
    <w:rsid w:val="1AA3B323"/>
    <w:rsid w:val="1AF4C06B"/>
    <w:rsid w:val="1AF8612B"/>
    <w:rsid w:val="1B10D8D2"/>
    <w:rsid w:val="1BC0D6D4"/>
    <w:rsid w:val="1BDEFB6F"/>
    <w:rsid w:val="1C306A7C"/>
    <w:rsid w:val="1C31EB00"/>
    <w:rsid w:val="1C3C5658"/>
    <w:rsid w:val="1C472908"/>
    <w:rsid w:val="1CB4D594"/>
    <w:rsid w:val="1D832B70"/>
    <w:rsid w:val="1DBA2635"/>
    <w:rsid w:val="1DCDBB61"/>
    <w:rsid w:val="1E058EF9"/>
    <w:rsid w:val="1E3780E7"/>
    <w:rsid w:val="1E4B9AE8"/>
    <w:rsid w:val="1EBCDCF0"/>
    <w:rsid w:val="1EDED053"/>
    <w:rsid w:val="1EEB3A11"/>
    <w:rsid w:val="1F73F71A"/>
    <w:rsid w:val="200D7F2F"/>
    <w:rsid w:val="202E1E9E"/>
    <w:rsid w:val="2043D1B8"/>
    <w:rsid w:val="20537480"/>
    <w:rsid w:val="205BC279"/>
    <w:rsid w:val="2094687E"/>
    <w:rsid w:val="20CDBA7C"/>
    <w:rsid w:val="2148B16F"/>
    <w:rsid w:val="21622E52"/>
    <w:rsid w:val="216AEAD7"/>
    <w:rsid w:val="2187B6ED"/>
    <w:rsid w:val="21C15FB1"/>
    <w:rsid w:val="22A0AAC1"/>
    <w:rsid w:val="22FC095F"/>
    <w:rsid w:val="231D9D36"/>
    <w:rsid w:val="2373C5A0"/>
    <w:rsid w:val="23B4349B"/>
    <w:rsid w:val="23B77AD5"/>
    <w:rsid w:val="23C1A1D8"/>
    <w:rsid w:val="23CE39C9"/>
    <w:rsid w:val="23D1720E"/>
    <w:rsid w:val="23DD3C03"/>
    <w:rsid w:val="23E8C816"/>
    <w:rsid w:val="2410C844"/>
    <w:rsid w:val="242D1751"/>
    <w:rsid w:val="248E5CF7"/>
    <w:rsid w:val="249D969C"/>
    <w:rsid w:val="24F7D2E9"/>
    <w:rsid w:val="25284C74"/>
    <w:rsid w:val="256FC79C"/>
    <w:rsid w:val="25734FE2"/>
    <w:rsid w:val="25F296B8"/>
    <w:rsid w:val="26338CF4"/>
    <w:rsid w:val="2668DFF8"/>
    <w:rsid w:val="266C4BEC"/>
    <w:rsid w:val="26741593"/>
    <w:rsid w:val="2681827E"/>
    <w:rsid w:val="2733E10E"/>
    <w:rsid w:val="27BDFE45"/>
    <w:rsid w:val="280D8D78"/>
    <w:rsid w:val="2828D687"/>
    <w:rsid w:val="28B86412"/>
    <w:rsid w:val="29295112"/>
    <w:rsid w:val="29BD40D3"/>
    <w:rsid w:val="29D02CEA"/>
    <w:rsid w:val="29D6EF4B"/>
    <w:rsid w:val="29EB089E"/>
    <w:rsid w:val="29F7541D"/>
    <w:rsid w:val="2A46486C"/>
    <w:rsid w:val="2A68980D"/>
    <w:rsid w:val="2AAF5E67"/>
    <w:rsid w:val="2B382031"/>
    <w:rsid w:val="2B4C10A1"/>
    <w:rsid w:val="2B59289B"/>
    <w:rsid w:val="2C6B7A62"/>
    <w:rsid w:val="2C6EEA5A"/>
    <w:rsid w:val="2C85B898"/>
    <w:rsid w:val="2C960C9F"/>
    <w:rsid w:val="2CCE50F0"/>
    <w:rsid w:val="2D423307"/>
    <w:rsid w:val="2D7A8597"/>
    <w:rsid w:val="2DCFC77C"/>
    <w:rsid w:val="2E0E6AD9"/>
    <w:rsid w:val="2EBA208E"/>
    <w:rsid w:val="2EBE79C1"/>
    <w:rsid w:val="2F0845E4"/>
    <w:rsid w:val="2FA68B1C"/>
    <w:rsid w:val="2FAC8912"/>
    <w:rsid w:val="2FAF5BDA"/>
    <w:rsid w:val="2FDCD6DC"/>
    <w:rsid w:val="3058EEC1"/>
    <w:rsid w:val="313CA413"/>
    <w:rsid w:val="319BCE88"/>
    <w:rsid w:val="31D3791C"/>
    <w:rsid w:val="32540947"/>
    <w:rsid w:val="32A112F2"/>
    <w:rsid w:val="32CCF4C6"/>
    <w:rsid w:val="32DA4A95"/>
    <w:rsid w:val="32EF7845"/>
    <w:rsid w:val="3347E434"/>
    <w:rsid w:val="335F2AEB"/>
    <w:rsid w:val="33945BB2"/>
    <w:rsid w:val="339B55F9"/>
    <w:rsid w:val="33D6E317"/>
    <w:rsid w:val="33F4F807"/>
    <w:rsid w:val="33F84279"/>
    <w:rsid w:val="34891439"/>
    <w:rsid w:val="354E143D"/>
    <w:rsid w:val="35AAF640"/>
    <w:rsid w:val="360B4AA7"/>
    <w:rsid w:val="366EA9C7"/>
    <w:rsid w:val="36798CE8"/>
    <w:rsid w:val="3699FE6E"/>
    <w:rsid w:val="36CA2983"/>
    <w:rsid w:val="372354D4"/>
    <w:rsid w:val="3743D4FC"/>
    <w:rsid w:val="385B1F02"/>
    <w:rsid w:val="398CF7A2"/>
    <w:rsid w:val="39AAF00A"/>
    <w:rsid w:val="39BE1348"/>
    <w:rsid w:val="39C005AE"/>
    <w:rsid w:val="39E2B838"/>
    <w:rsid w:val="39F95744"/>
    <w:rsid w:val="3A16E524"/>
    <w:rsid w:val="3AD02D69"/>
    <w:rsid w:val="3AE5D017"/>
    <w:rsid w:val="3B7E8899"/>
    <w:rsid w:val="3BA5B141"/>
    <w:rsid w:val="3BF90702"/>
    <w:rsid w:val="3C0C2F32"/>
    <w:rsid w:val="3C307B6F"/>
    <w:rsid w:val="3C42460A"/>
    <w:rsid w:val="3C7742BF"/>
    <w:rsid w:val="3CD1EC72"/>
    <w:rsid w:val="3CE290CC"/>
    <w:rsid w:val="3CFB44B3"/>
    <w:rsid w:val="3D3F2E74"/>
    <w:rsid w:val="3D84E2F6"/>
    <w:rsid w:val="3DE00917"/>
    <w:rsid w:val="3E35FB2E"/>
    <w:rsid w:val="3E465657"/>
    <w:rsid w:val="3E8444A8"/>
    <w:rsid w:val="3ED12DEA"/>
    <w:rsid w:val="3EE1D91A"/>
    <w:rsid w:val="3EE3D100"/>
    <w:rsid w:val="3F2E8121"/>
    <w:rsid w:val="3F9A98B3"/>
    <w:rsid w:val="404759FE"/>
    <w:rsid w:val="40B1F6E8"/>
    <w:rsid w:val="40B4D3C8"/>
    <w:rsid w:val="40B8C49C"/>
    <w:rsid w:val="4103EC92"/>
    <w:rsid w:val="412F68D1"/>
    <w:rsid w:val="4133FB5D"/>
    <w:rsid w:val="413B45C9"/>
    <w:rsid w:val="41881583"/>
    <w:rsid w:val="41960A13"/>
    <w:rsid w:val="41F63ED6"/>
    <w:rsid w:val="429C7657"/>
    <w:rsid w:val="42BE598F"/>
    <w:rsid w:val="42FBBD85"/>
    <w:rsid w:val="4331DA74"/>
    <w:rsid w:val="434BCD31"/>
    <w:rsid w:val="43A333AA"/>
    <w:rsid w:val="43AB70A4"/>
    <w:rsid w:val="43CF0241"/>
    <w:rsid w:val="44177B99"/>
    <w:rsid w:val="4425A88B"/>
    <w:rsid w:val="4449399F"/>
    <w:rsid w:val="444AA6CA"/>
    <w:rsid w:val="444EE3D0"/>
    <w:rsid w:val="445ACFFF"/>
    <w:rsid w:val="446BD1FB"/>
    <w:rsid w:val="44C226BE"/>
    <w:rsid w:val="455CA12A"/>
    <w:rsid w:val="461D7CD5"/>
    <w:rsid w:val="461E79A5"/>
    <w:rsid w:val="46877B78"/>
    <w:rsid w:val="46A5425A"/>
    <w:rsid w:val="46D8000F"/>
    <w:rsid w:val="46FBDD16"/>
    <w:rsid w:val="470A428D"/>
    <w:rsid w:val="47796D08"/>
    <w:rsid w:val="47C17C9A"/>
    <w:rsid w:val="48051D78"/>
    <w:rsid w:val="4866BAD2"/>
    <w:rsid w:val="48716769"/>
    <w:rsid w:val="4887A570"/>
    <w:rsid w:val="48AD45B0"/>
    <w:rsid w:val="48CA9C03"/>
    <w:rsid w:val="48DD2E52"/>
    <w:rsid w:val="49F90436"/>
    <w:rsid w:val="4A0F1745"/>
    <w:rsid w:val="4A423847"/>
    <w:rsid w:val="4A705A41"/>
    <w:rsid w:val="4A78184C"/>
    <w:rsid w:val="4AB7226A"/>
    <w:rsid w:val="4B20CBE1"/>
    <w:rsid w:val="4B9E91CB"/>
    <w:rsid w:val="4BB74C9A"/>
    <w:rsid w:val="4C01B221"/>
    <w:rsid w:val="4C30171C"/>
    <w:rsid w:val="4CA475CF"/>
    <w:rsid w:val="4CAD44D0"/>
    <w:rsid w:val="4CBDD63A"/>
    <w:rsid w:val="4CE0A0B2"/>
    <w:rsid w:val="4D0DB217"/>
    <w:rsid w:val="4D228182"/>
    <w:rsid w:val="4D34893F"/>
    <w:rsid w:val="4D7A64E2"/>
    <w:rsid w:val="4D9B5593"/>
    <w:rsid w:val="4DDF48F8"/>
    <w:rsid w:val="4E2C2E47"/>
    <w:rsid w:val="4E3FBC9D"/>
    <w:rsid w:val="4E58CB82"/>
    <w:rsid w:val="4E9EBE20"/>
    <w:rsid w:val="4EA31393"/>
    <w:rsid w:val="4EA5683E"/>
    <w:rsid w:val="4EC2B24A"/>
    <w:rsid w:val="4FA5B788"/>
    <w:rsid w:val="4FC846EC"/>
    <w:rsid w:val="4FEEE71A"/>
    <w:rsid w:val="4FF88532"/>
    <w:rsid w:val="503A8E81"/>
    <w:rsid w:val="504B0290"/>
    <w:rsid w:val="515EED49"/>
    <w:rsid w:val="51612C4C"/>
    <w:rsid w:val="5176E508"/>
    <w:rsid w:val="5184E504"/>
    <w:rsid w:val="51DC216D"/>
    <w:rsid w:val="51F2E47B"/>
    <w:rsid w:val="52416357"/>
    <w:rsid w:val="52457684"/>
    <w:rsid w:val="5254EF3F"/>
    <w:rsid w:val="52A7845E"/>
    <w:rsid w:val="52E57160"/>
    <w:rsid w:val="53169433"/>
    <w:rsid w:val="53198700"/>
    <w:rsid w:val="5437DFA1"/>
    <w:rsid w:val="54CFF34C"/>
    <w:rsid w:val="54D8E8FE"/>
    <w:rsid w:val="54EBBC25"/>
    <w:rsid w:val="55383791"/>
    <w:rsid w:val="55C38635"/>
    <w:rsid w:val="5608C581"/>
    <w:rsid w:val="570998CA"/>
    <w:rsid w:val="5716D84B"/>
    <w:rsid w:val="572608EC"/>
    <w:rsid w:val="573C8F96"/>
    <w:rsid w:val="57610915"/>
    <w:rsid w:val="577576D7"/>
    <w:rsid w:val="57B39964"/>
    <w:rsid w:val="58520981"/>
    <w:rsid w:val="58BBE4DC"/>
    <w:rsid w:val="58D065A2"/>
    <w:rsid w:val="58E5ECC0"/>
    <w:rsid w:val="591644AB"/>
    <w:rsid w:val="593C9658"/>
    <w:rsid w:val="59635587"/>
    <w:rsid w:val="599D090B"/>
    <w:rsid w:val="59BF2D48"/>
    <w:rsid w:val="59F18B77"/>
    <w:rsid w:val="5A15F8EE"/>
    <w:rsid w:val="5A1CF952"/>
    <w:rsid w:val="5A51B9EA"/>
    <w:rsid w:val="5A600124"/>
    <w:rsid w:val="5B37453D"/>
    <w:rsid w:val="5BC80C11"/>
    <w:rsid w:val="5C212BB9"/>
    <w:rsid w:val="5D1BDC02"/>
    <w:rsid w:val="5D63DC72"/>
    <w:rsid w:val="5EC4D7D5"/>
    <w:rsid w:val="5F2FAE35"/>
    <w:rsid w:val="5F34A98D"/>
    <w:rsid w:val="5F7BBD6C"/>
    <w:rsid w:val="5FB3F863"/>
    <w:rsid w:val="5FE59EAF"/>
    <w:rsid w:val="60124331"/>
    <w:rsid w:val="607F5182"/>
    <w:rsid w:val="609A7A9A"/>
    <w:rsid w:val="60B40E01"/>
    <w:rsid w:val="60EE72AB"/>
    <w:rsid w:val="60F64D60"/>
    <w:rsid w:val="618B5544"/>
    <w:rsid w:val="61AE7D94"/>
    <w:rsid w:val="61F0996B"/>
    <w:rsid w:val="6236D77F"/>
    <w:rsid w:val="623F3D3D"/>
    <w:rsid w:val="6262D585"/>
    <w:rsid w:val="628C95E1"/>
    <w:rsid w:val="62A3FE94"/>
    <w:rsid w:val="63BE46C5"/>
    <w:rsid w:val="63D89B8E"/>
    <w:rsid w:val="6404A467"/>
    <w:rsid w:val="6415E35B"/>
    <w:rsid w:val="6416D3D0"/>
    <w:rsid w:val="649EFC7F"/>
    <w:rsid w:val="64B658F2"/>
    <w:rsid w:val="64E6E5AE"/>
    <w:rsid w:val="64F6E24B"/>
    <w:rsid w:val="66F093C1"/>
    <w:rsid w:val="67F4E06A"/>
    <w:rsid w:val="683AD43C"/>
    <w:rsid w:val="684D8B85"/>
    <w:rsid w:val="6867B20B"/>
    <w:rsid w:val="68A8D26E"/>
    <w:rsid w:val="68C1183C"/>
    <w:rsid w:val="68D6E4EC"/>
    <w:rsid w:val="69110276"/>
    <w:rsid w:val="69141B47"/>
    <w:rsid w:val="6915A66A"/>
    <w:rsid w:val="69179950"/>
    <w:rsid w:val="6923DF84"/>
    <w:rsid w:val="69325C8A"/>
    <w:rsid w:val="6990B0CB"/>
    <w:rsid w:val="6A19B02C"/>
    <w:rsid w:val="6AAFEBA8"/>
    <w:rsid w:val="6ADCBB99"/>
    <w:rsid w:val="6B22553D"/>
    <w:rsid w:val="6B58A3B0"/>
    <w:rsid w:val="6B61E518"/>
    <w:rsid w:val="6B640951"/>
    <w:rsid w:val="6B6C1955"/>
    <w:rsid w:val="6B8A3280"/>
    <w:rsid w:val="6BCD529B"/>
    <w:rsid w:val="6BDE59B9"/>
    <w:rsid w:val="6BFF80F0"/>
    <w:rsid w:val="6C6DFF88"/>
    <w:rsid w:val="6CB06E63"/>
    <w:rsid w:val="6D18DD30"/>
    <w:rsid w:val="6D2602E1"/>
    <w:rsid w:val="6D3552AA"/>
    <w:rsid w:val="6D5B79C4"/>
    <w:rsid w:val="6D713989"/>
    <w:rsid w:val="6D94895F"/>
    <w:rsid w:val="6DC9E26A"/>
    <w:rsid w:val="6E09CFE9"/>
    <w:rsid w:val="6E5A5103"/>
    <w:rsid w:val="6E711681"/>
    <w:rsid w:val="6E95E4FA"/>
    <w:rsid w:val="6EA39CC1"/>
    <w:rsid w:val="6EADE759"/>
    <w:rsid w:val="6F13E22A"/>
    <w:rsid w:val="6FBF5B29"/>
    <w:rsid w:val="6FD5B6F5"/>
    <w:rsid w:val="6FEAC87C"/>
    <w:rsid w:val="70629BD1"/>
    <w:rsid w:val="708B3464"/>
    <w:rsid w:val="70ADC9E5"/>
    <w:rsid w:val="7107A3E0"/>
    <w:rsid w:val="716E18D2"/>
    <w:rsid w:val="717463E5"/>
    <w:rsid w:val="71840133"/>
    <w:rsid w:val="71DF462C"/>
    <w:rsid w:val="71E2FC9D"/>
    <w:rsid w:val="7297031E"/>
    <w:rsid w:val="72ED36F7"/>
    <w:rsid w:val="73135DE8"/>
    <w:rsid w:val="732946CC"/>
    <w:rsid w:val="73D806E9"/>
    <w:rsid w:val="74073A25"/>
    <w:rsid w:val="742C7A8F"/>
    <w:rsid w:val="7458E2D2"/>
    <w:rsid w:val="745E617C"/>
    <w:rsid w:val="74DE3B9C"/>
    <w:rsid w:val="7548AAC6"/>
    <w:rsid w:val="7624D7B9"/>
    <w:rsid w:val="76420491"/>
    <w:rsid w:val="7652952D"/>
    <w:rsid w:val="7687C2F6"/>
    <w:rsid w:val="76A9BF36"/>
    <w:rsid w:val="7735C38C"/>
    <w:rsid w:val="7738C054"/>
    <w:rsid w:val="7772AD17"/>
    <w:rsid w:val="77A8E955"/>
    <w:rsid w:val="77EE658E"/>
    <w:rsid w:val="7810E412"/>
    <w:rsid w:val="781F1C3E"/>
    <w:rsid w:val="78322D8D"/>
    <w:rsid w:val="7845FD32"/>
    <w:rsid w:val="787F8BEC"/>
    <w:rsid w:val="78805245"/>
    <w:rsid w:val="78DB25F4"/>
    <w:rsid w:val="78DB796E"/>
    <w:rsid w:val="78F53DB4"/>
    <w:rsid w:val="790E7D78"/>
    <w:rsid w:val="7917E633"/>
    <w:rsid w:val="79310A9D"/>
    <w:rsid w:val="7941ABB0"/>
    <w:rsid w:val="794770D4"/>
    <w:rsid w:val="7A002C7A"/>
    <w:rsid w:val="7AA2C17C"/>
    <w:rsid w:val="7B00740F"/>
    <w:rsid w:val="7B69CE4F"/>
    <w:rsid w:val="7B986692"/>
    <w:rsid w:val="7C131A30"/>
    <w:rsid w:val="7C2D98E8"/>
    <w:rsid w:val="7C2E2958"/>
    <w:rsid w:val="7C8DF184"/>
    <w:rsid w:val="7CCC44CC"/>
    <w:rsid w:val="7D091C2C"/>
    <w:rsid w:val="7D17AD2C"/>
    <w:rsid w:val="7D196E55"/>
    <w:rsid w:val="7D70F5D9"/>
    <w:rsid w:val="7E05D086"/>
    <w:rsid w:val="7E2A7BE0"/>
    <w:rsid w:val="7E7B6D11"/>
    <w:rsid w:val="7ED4035F"/>
    <w:rsid w:val="7EE6DCF5"/>
    <w:rsid w:val="7F1E0CE2"/>
    <w:rsid w:val="7F6C2156"/>
    <w:rsid w:val="7FA901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3869C"/>
  <w15:chartTrackingRefBased/>
  <w15:docId w15:val="{A7C15714-0FFC-4470-94CF-C6449120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C7C"/>
    <w:rPr>
      <w:rFonts w:ascii="Times New Roman" w:hAnsi="Times New Roman" w:cs="Times New Roman"/>
      <w:sz w:val="18"/>
      <w:szCs w:val="18"/>
    </w:rPr>
  </w:style>
  <w:style w:type="table" w:styleId="TableGrid">
    <w:name w:val="Table Grid"/>
    <w:basedOn w:val="TableNormal"/>
    <w:uiPriority w:val="39"/>
    <w:rsid w:val="00D1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2B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4E2061"/>
    <w:rPr>
      <w:sz w:val="16"/>
      <w:szCs w:val="16"/>
    </w:rPr>
  </w:style>
  <w:style w:type="paragraph" w:styleId="CommentText">
    <w:name w:val="annotation text"/>
    <w:basedOn w:val="Normal"/>
    <w:link w:val="CommentTextChar"/>
    <w:uiPriority w:val="99"/>
    <w:semiHidden/>
    <w:unhideWhenUsed/>
    <w:rsid w:val="004E2061"/>
    <w:rPr>
      <w:sz w:val="20"/>
      <w:szCs w:val="20"/>
    </w:rPr>
  </w:style>
  <w:style w:type="character" w:customStyle="1" w:styleId="CommentTextChar">
    <w:name w:val="Comment Text Char"/>
    <w:basedOn w:val="DefaultParagraphFont"/>
    <w:link w:val="CommentText"/>
    <w:uiPriority w:val="99"/>
    <w:semiHidden/>
    <w:rsid w:val="004E2061"/>
    <w:rPr>
      <w:sz w:val="20"/>
      <w:szCs w:val="20"/>
    </w:rPr>
  </w:style>
  <w:style w:type="paragraph" w:styleId="CommentSubject">
    <w:name w:val="annotation subject"/>
    <w:basedOn w:val="CommentText"/>
    <w:next w:val="CommentText"/>
    <w:link w:val="CommentSubjectChar"/>
    <w:uiPriority w:val="99"/>
    <w:semiHidden/>
    <w:unhideWhenUsed/>
    <w:rsid w:val="004E2061"/>
    <w:rPr>
      <w:b/>
      <w:bCs/>
    </w:rPr>
  </w:style>
  <w:style w:type="character" w:customStyle="1" w:styleId="CommentSubjectChar">
    <w:name w:val="Comment Subject Char"/>
    <w:basedOn w:val="CommentTextChar"/>
    <w:link w:val="CommentSubject"/>
    <w:uiPriority w:val="99"/>
    <w:semiHidden/>
    <w:rsid w:val="004E2061"/>
    <w:rPr>
      <w:b/>
      <w:bCs/>
      <w:sz w:val="20"/>
      <w:szCs w:val="20"/>
    </w:rPr>
  </w:style>
  <w:style w:type="paragraph" w:styleId="Header">
    <w:name w:val="header"/>
    <w:basedOn w:val="Normal"/>
    <w:link w:val="HeaderChar"/>
    <w:uiPriority w:val="99"/>
    <w:unhideWhenUsed/>
    <w:rsid w:val="00B32F6F"/>
    <w:pPr>
      <w:tabs>
        <w:tab w:val="center" w:pos="4513"/>
        <w:tab w:val="right" w:pos="9026"/>
      </w:tabs>
    </w:pPr>
  </w:style>
  <w:style w:type="character" w:customStyle="1" w:styleId="HeaderChar">
    <w:name w:val="Header Char"/>
    <w:basedOn w:val="DefaultParagraphFont"/>
    <w:link w:val="Header"/>
    <w:uiPriority w:val="99"/>
    <w:rsid w:val="00B32F6F"/>
  </w:style>
  <w:style w:type="paragraph" w:styleId="Footer">
    <w:name w:val="footer"/>
    <w:basedOn w:val="Normal"/>
    <w:link w:val="FooterChar"/>
    <w:uiPriority w:val="99"/>
    <w:unhideWhenUsed/>
    <w:rsid w:val="00B32F6F"/>
    <w:pPr>
      <w:tabs>
        <w:tab w:val="center" w:pos="4513"/>
        <w:tab w:val="right" w:pos="9026"/>
      </w:tabs>
    </w:pPr>
  </w:style>
  <w:style w:type="character" w:customStyle="1" w:styleId="FooterChar">
    <w:name w:val="Footer Char"/>
    <w:basedOn w:val="DefaultParagraphFont"/>
    <w:link w:val="Footer"/>
    <w:uiPriority w:val="99"/>
    <w:rsid w:val="00B32F6F"/>
  </w:style>
  <w:style w:type="paragraph" w:styleId="NormalWeb">
    <w:name w:val="Normal (Web)"/>
    <w:basedOn w:val="Normal"/>
    <w:uiPriority w:val="99"/>
    <w:unhideWhenUsed/>
    <w:rsid w:val="002C124E"/>
    <w:pPr>
      <w:spacing w:before="100" w:beforeAutospacing="1" w:after="100" w:afterAutospacing="1"/>
    </w:pPr>
    <w:rPr>
      <w:rFonts w:ascii="Times New Roman" w:eastAsia="Times New Roman" w:hAnsi="Times New Roman" w:cs="Times New Roman"/>
      <w:lang w:eastAsia="en-GB"/>
    </w:rPr>
  </w:style>
  <w:style w:type="table" w:styleId="PlainTable4">
    <w:name w:val="Plain Table 4"/>
    <w:basedOn w:val="TableNormal"/>
    <w:uiPriority w:val="44"/>
    <w:rsid w:val="00C219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219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219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31DE8"/>
  </w:style>
  <w:style w:type="paragraph" w:styleId="ListParagraph">
    <w:name w:val="List Paragraph"/>
    <w:basedOn w:val="Normal"/>
    <w:uiPriority w:val="34"/>
    <w:qFormat/>
    <w:rsid w:val="00FB418C"/>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style>
  <w:style w:type="character" w:styleId="Emphasis">
    <w:name w:val="Emphasis"/>
    <w:basedOn w:val="DefaultParagraphFont"/>
    <w:uiPriority w:val="20"/>
    <w:qFormat/>
    <w:rsid w:val="00667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876">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48300293">
      <w:bodyDiv w:val="1"/>
      <w:marLeft w:val="0"/>
      <w:marRight w:val="0"/>
      <w:marTop w:val="0"/>
      <w:marBottom w:val="0"/>
      <w:divBdr>
        <w:top w:val="none" w:sz="0" w:space="0" w:color="auto"/>
        <w:left w:val="none" w:sz="0" w:space="0" w:color="auto"/>
        <w:bottom w:val="none" w:sz="0" w:space="0" w:color="auto"/>
        <w:right w:val="none" w:sz="0" w:space="0" w:color="auto"/>
      </w:divBdr>
    </w:div>
    <w:div w:id="638002943">
      <w:bodyDiv w:val="1"/>
      <w:marLeft w:val="0"/>
      <w:marRight w:val="0"/>
      <w:marTop w:val="0"/>
      <w:marBottom w:val="0"/>
      <w:divBdr>
        <w:top w:val="none" w:sz="0" w:space="0" w:color="auto"/>
        <w:left w:val="none" w:sz="0" w:space="0" w:color="auto"/>
        <w:bottom w:val="none" w:sz="0" w:space="0" w:color="auto"/>
        <w:right w:val="none" w:sz="0" w:space="0" w:color="auto"/>
      </w:divBdr>
    </w:div>
    <w:div w:id="755328306">
      <w:bodyDiv w:val="1"/>
      <w:marLeft w:val="0"/>
      <w:marRight w:val="0"/>
      <w:marTop w:val="0"/>
      <w:marBottom w:val="0"/>
      <w:divBdr>
        <w:top w:val="none" w:sz="0" w:space="0" w:color="auto"/>
        <w:left w:val="none" w:sz="0" w:space="0" w:color="auto"/>
        <w:bottom w:val="none" w:sz="0" w:space="0" w:color="auto"/>
        <w:right w:val="none" w:sz="0" w:space="0" w:color="auto"/>
      </w:divBdr>
    </w:div>
    <w:div w:id="758330523">
      <w:bodyDiv w:val="1"/>
      <w:marLeft w:val="0"/>
      <w:marRight w:val="0"/>
      <w:marTop w:val="0"/>
      <w:marBottom w:val="0"/>
      <w:divBdr>
        <w:top w:val="none" w:sz="0" w:space="0" w:color="auto"/>
        <w:left w:val="none" w:sz="0" w:space="0" w:color="auto"/>
        <w:bottom w:val="none" w:sz="0" w:space="0" w:color="auto"/>
        <w:right w:val="none" w:sz="0" w:space="0" w:color="auto"/>
      </w:divBdr>
    </w:div>
    <w:div w:id="1058015542">
      <w:bodyDiv w:val="1"/>
      <w:marLeft w:val="0"/>
      <w:marRight w:val="0"/>
      <w:marTop w:val="0"/>
      <w:marBottom w:val="0"/>
      <w:divBdr>
        <w:top w:val="none" w:sz="0" w:space="0" w:color="auto"/>
        <w:left w:val="none" w:sz="0" w:space="0" w:color="auto"/>
        <w:bottom w:val="none" w:sz="0" w:space="0" w:color="auto"/>
        <w:right w:val="none" w:sz="0" w:space="0" w:color="auto"/>
      </w:divBdr>
    </w:div>
    <w:div w:id="1195997494">
      <w:bodyDiv w:val="1"/>
      <w:marLeft w:val="0"/>
      <w:marRight w:val="0"/>
      <w:marTop w:val="0"/>
      <w:marBottom w:val="0"/>
      <w:divBdr>
        <w:top w:val="none" w:sz="0" w:space="0" w:color="auto"/>
        <w:left w:val="none" w:sz="0" w:space="0" w:color="auto"/>
        <w:bottom w:val="none" w:sz="0" w:space="0" w:color="auto"/>
        <w:right w:val="none" w:sz="0" w:space="0" w:color="auto"/>
      </w:divBdr>
    </w:div>
    <w:div w:id="1347176590">
      <w:bodyDiv w:val="1"/>
      <w:marLeft w:val="0"/>
      <w:marRight w:val="0"/>
      <w:marTop w:val="0"/>
      <w:marBottom w:val="0"/>
      <w:divBdr>
        <w:top w:val="none" w:sz="0" w:space="0" w:color="auto"/>
        <w:left w:val="none" w:sz="0" w:space="0" w:color="auto"/>
        <w:bottom w:val="none" w:sz="0" w:space="0" w:color="auto"/>
        <w:right w:val="none" w:sz="0" w:space="0" w:color="auto"/>
      </w:divBdr>
    </w:div>
    <w:div w:id="1359157856">
      <w:bodyDiv w:val="1"/>
      <w:marLeft w:val="0"/>
      <w:marRight w:val="0"/>
      <w:marTop w:val="0"/>
      <w:marBottom w:val="0"/>
      <w:divBdr>
        <w:top w:val="none" w:sz="0" w:space="0" w:color="auto"/>
        <w:left w:val="none" w:sz="0" w:space="0" w:color="auto"/>
        <w:bottom w:val="none" w:sz="0" w:space="0" w:color="auto"/>
        <w:right w:val="none" w:sz="0" w:space="0" w:color="auto"/>
      </w:divBdr>
    </w:div>
    <w:div w:id="1509173435">
      <w:bodyDiv w:val="1"/>
      <w:marLeft w:val="0"/>
      <w:marRight w:val="0"/>
      <w:marTop w:val="0"/>
      <w:marBottom w:val="0"/>
      <w:divBdr>
        <w:top w:val="none" w:sz="0" w:space="0" w:color="auto"/>
        <w:left w:val="none" w:sz="0" w:space="0" w:color="auto"/>
        <w:bottom w:val="none" w:sz="0" w:space="0" w:color="auto"/>
        <w:right w:val="none" w:sz="0" w:space="0" w:color="auto"/>
      </w:divBdr>
    </w:div>
    <w:div w:id="1720862501">
      <w:bodyDiv w:val="1"/>
      <w:marLeft w:val="0"/>
      <w:marRight w:val="0"/>
      <w:marTop w:val="0"/>
      <w:marBottom w:val="0"/>
      <w:divBdr>
        <w:top w:val="none" w:sz="0" w:space="0" w:color="auto"/>
        <w:left w:val="none" w:sz="0" w:space="0" w:color="auto"/>
        <w:bottom w:val="none" w:sz="0" w:space="0" w:color="auto"/>
        <w:right w:val="none" w:sz="0" w:space="0" w:color="auto"/>
      </w:divBdr>
    </w:div>
    <w:div w:id="1849825868">
      <w:bodyDiv w:val="1"/>
      <w:marLeft w:val="0"/>
      <w:marRight w:val="0"/>
      <w:marTop w:val="0"/>
      <w:marBottom w:val="0"/>
      <w:divBdr>
        <w:top w:val="none" w:sz="0" w:space="0" w:color="auto"/>
        <w:left w:val="none" w:sz="0" w:space="0" w:color="auto"/>
        <w:bottom w:val="none" w:sz="0" w:space="0" w:color="auto"/>
        <w:right w:val="none" w:sz="0" w:space="0" w:color="auto"/>
      </w:divBdr>
    </w:div>
    <w:div w:id="2096971405">
      <w:bodyDiv w:val="1"/>
      <w:marLeft w:val="0"/>
      <w:marRight w:val="0"/>
      <w:marTop w:val="0"/>
      <w:marBottom w:val="0"/>
      <w:divBdr>
        <w:top w:val="none" w:sz="0" w:space="0" w:color="auto"/>
        <w:left w:val="none" w:sz="0" w:space="0" w:color="auto"/>
        <w:bottom w:val="none" w:sz="0" w:space="0" w:color="auto"/>
        <w:right w:val="none" w:sz="0" w:space="0" w:color="auto"/>
      </w:divBdr>
    </w:div>
    <w:div w:id="20980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9a9a0c-6d47-48f9-964a-ad6a32153b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D2F0BFC4B0A3439C6E3C7A2519A640" ma:contentTypeVersion="15" ma:contentTypeDescription="Create a new document." ma:contentTypeScope="" ma:versionID="57f6da295142d5c944870f502d00ed82">
  <xsd:schema xmlns:xsd="http://www.w3.org/2001/XMLSchema" xmlns:xs="http://www.w3.org/2001/XMLSchema" xmlns:p="http://schemas.microsoft.com/office/2006/metadata/properties" xmlns:ns3="11760cac-b04a-4bd6-8788-490e096063f3" xmlns:ns4="789a9a0c-6d47-48f9-964a-ad6a32153b3f" targetNamespace="http://schemas.microsoft.com/office/2006/metadata/properties" ma:root="true" ma:fieldsID="3a4045192dc5a62fdf94337be322ec7b" ns3:_="" ns4:_="">
    <xsd:import namespace="11760cac-b04a-4bd6-8788-490e096063f3"/>
    <xsd:import namespace="789a9a0c-6d47-48f9-964a-ad6a32153b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0cac-b04a-4bd6-8788-490e09606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a9a0c-6d47-48f9-964a-ad6a32153b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7566-579F-467B-8842-9D4360B0EDDB}">
  <ds:schemaRefs>
    <ds:schemaRef ds:uri="http://schemas.microsoft.com/sharepoint/v3/contenttype/forms"/>
  </ds:schemaRefs>
</ds:datastoreItem>
</file>

<file path=customXml/itemProps2.xml><?xml version="1.0" encoding="utf-8"?>
<ds:datastoreItem xmlns:ds="http://schemas.openxmlformats.org/officeDocument/2006/customXml" ds:itemID="{8D74E029-ED2A-475F-8E44-AEF697B96363}">
  <ds:schemaRefs>
    <ds:schemaRef ds:uri="http://purl.org/dc/elements/1.1/"/>
    <ds:schemaRef ds:uri="http://schemas.microsoft.com/office/2006/metadata/properties"/>
    <ds:schemaRef ds:uri="http://schemas.microsoft.com/office/infopath/2007/PartnerControls"/>
    <ds:schemaRef ds:uri="789a9a0c-6d47-48f9-964a-ad6a32153b3f"/>
    <ds:schemaRef ds:uri="http://purl.org/dc/terms/"/>
    <ds:schemaRef ds:uri="11760cac-b04a-4bd6-8788-490e096063f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0F5D48-93D9-4B14-BFD0-8784C68A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0cac-b04a-4bd6-8788-490e096063f3"/>
    <ds:schemaRef ds:uri="789a9a0c-6d47-48f9-964a-ad6a32153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611B9-04B2-496A-B457-755F6430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6672</Words>
  <Characters>38037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Abbondanza</dc:creator>
  <cp:keywords/>
  <dc:description/>
  <cp:lastModifiedBy>Silvia Paracchini</cp:lastModifiedBy>
  <cp:revision>2</cp:revision>
  <dcterms:created xsi:type="dcterms:W3CDTF">2022-12-09T13:59:00Z</dcterms:created>
  <dcterms:modified xsi:type="dcterms:W3CDTF">2022-12-09T13:59:00Z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1da55671-e402-3a52-9796-9023494e49b4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http://csl.mendeley.com/styles/25223801/RThesis</vt:lpwstr>
  </property>
  <property fmtid="{D5CDD505-2E9C-101B-9397-08002B2CF9AE}" pid="10" name="Mendeley Recent Style Name 2_1">
    <vt:lpwstr>American Psychological Association 6th edition - Rebeca Diaz</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http://csl.mendeley.com/styles/19138141/database</vt:lpwstr>
  </property>
  <property fmtid="{D5CDD505-2E9C-101B-9397-08002B2CF9AE}" pid="16" name="Mendeley Recent Style Name 5_1">
    <vt:lpwstr>Database - silvia paracchini doi</vt:lpwstr>
  </property>
  <property fmtid="{D5CDD505-2E9C-101B-9397-08002B2CF9AE}" pid="17" name="Mendeley Recent Style Id 6_1">
    <vt:lpwstr>https://csl.mendeley.com/styles/19138141/database</vt:lpwstr>
  </property>
  <property fmtid="{D5CDD505-2E9C-101B-9397-08002B2CF9AE}" pid="18" name="Mendeley Recent Style Name 6_1">
    <vt:lpwstr>Database - silvia paracchini doi</vt:lpwstr>
  </property>
  <property fmtid="{D5CDD505-2E9C-101B-9397-08002B2CF9AE}" pid="19" name="Mendeley Recent Style Id 7_1">
    <vt:lpwstr>http://www.zotero.org/styles/human-molecular-genetics</vt:lpwstr>
  </property>
  <property fmtid="{D5CDD505-2E9C-101B-9397-08002B2CF9AE}" pid="20" name="Mendeley Recent Style Name 7_1">
    <vt:lpwstr>Human Molecular Genetics</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http://www.zotero.org/styles/the-journal-of-comparative-neurology</vt:lpwstr>
  </property>
  <property fmtid="{D5CDD505-2E9C-101B-9397-08002B2CF9AE}" pid="24" name="Mendeley Recent Style Name 9_1">
    <vt:lpwstr>The Journal of Comparative Neurology</vt:lpwstr>
  </property>
  <property fmtid="{D5CDD505-2E9C-101B-9397-08002B2CF9AE}" pid="25" name="ContentTypeId">
    <vt:lpwstr>0x010100EFD2F0BFC4B0A3439C6E3C7A2519A640</vt:lpwstr>
  </property>
  <property fmtid="{D5CDD505-2E9C-101B-9397-08002B2CF9AE}" pid="26" name="GrammarlyDocumentId">
    <vt:lpwstr>86fcc9422a3b58f1901aed3de79e4e34d1c7720aef1d528757a3930b3e19efc9</vt:lpwstr>
  </property>
</Properties>
</file>