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6" w:rsidRPr="00EE21CD" w:rsidRDefault="00F65656" w:rsidP="00F65656">
      <w:pPr>
        <w:rPr>
          <w:rFonts w:ascii="Times New Roman" w:hAnsi="Times New Roman" w:cs="Times New Roman"/>
          <w:b/>
        </w:rPr>
      </w:pPr>
      <w:r w:rsidRPr="00EE21CD">
        <w:rPr>
          <w:rFonts w:ascii="Times New Roman" w:hAnsi="Times New Roman" w:cs="Times New Roman"/>
          <w:b/>
        </w:rPr>
        <w:t xml:space="preserve">Supplementary </w:t>
      </w:r>
      <w:r w:rsidR="00DD0AB3">
        <w:rPr>
          <w:rFonts w:ascii="Times New Roman" w:hAnsi="Times New Roman" w:cs="Times New Roman"/>
          <w:b/>
        </w:rPr>
        <w:t>Material</w:t>
      </w:r>
    </w:p>
    <w:p w:rsidR="00F65656" w:rsidRPr="00EE21CD" w:rsidRDefault="00F65656" w:rsidP="00F65656">
      <w:pPr>
        <w:keepNext/>
        <w:spacing w:after="120" w:line="240" w:lineRule="auto"/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fldChar w:fldCharType="begin"/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instrText xml:space="preserve"> SEQ Table \* ARABIC </w:instrText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fldChar w:fldCharType="separate"/>
      </w:r>
      <w:r w:rsidRPr="00EE21CD">
        <w:rPr>
          <w:rFonts w:ascii="Times New Roman" w:hAnsi="Times New Roman" w:cs="Times New Roman"/>
          <w:b/>
          <w:bCs/>
          <w:noProof/>
          <w:color w:val="767171"/>
          <w:sz w:val="18"/>
          <w:szCs w:val="18"/>
          <w:lang w:val="en-US"/>
        </w:rPr>
        <w:t>1</w:t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fldChar w:fldCharType="end"/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>. Overview NTR survey questions and outcome definitions regarding early-life antibiotic use, ASD and ADHD</w:t>
      </w:r>
      <w:bookmarkStart w:id="0" w:name="_GoBack"/>
      <w:bookmarkEnd w:id="0"/>
    </w:p>
    <w:tbl>
      <w:tblPr>
        <w:tblW w:w="9289" w:type="dxa"/>
        <w:tblLook w:val="04A0" w:firstRow="1" w:lastRow="0" w:firstColumn="1" w:lastColumn="0" w:noHBand="0" w:noVBand="1"/>
      </w:tblPr>
      <w:tblGrid>
        <w:gridCol w:w="1668"/>
        <w:gridCol w:w="1316"/>
        <w:gridCol w:w="4747"/>
        <w:gridCol w:w="1558"/>
      </w:tblGrid>
      <w:tr w:rsidR="00F65656" w:rsidRPr="00EE21CD" w:rsidTr="00487CE2">
        <w:trPr>
          <w:trHeight w:val="297"/>
        </w:trPr>
        <w:tc>
          <w:tcPr>
            <w:tcW w:w="1668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 xml:space="preserve">Survey item </w:t>
            </w:r>
          </w:p>
        </w:tc>
        <w:tc>
          <w:tcPr>
            <w:tcW w:w="1316" w:type="dxa"/>
            <w:tcBorders>
              <w:bottom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Intended age</w:t>
            </w:r>
          </w:p>
        </w:tc>
        <w:tc>
          <w:tcPr>
            <w:tcW w:w="4747" w:type="dxa"/>
            <w:tcBorders>
              <w:bottom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 xml:space="preserve">Outcome Definition </w:t>
            </w:r>
          </w:p>
        </w:tc>
        <w:tc>
          <w:tcPr>
            <w:tcW w:w="1558" w:type="dxa"/>
            <w:tcBorders>
              <w:bottom w:val="single" w:sz="4" w:space="0" w:color="7F7F7F"/>
            </w:tcBorders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</w:tc>
      </w:tr>
      <w:tr w:rsidR="00F65656" w:rsidRPr="00EE21CD" w:rsidTr="00487CE2">
        <w:trPr>
          <w:trHeight w:val="297"/>
        </w:trPr>
        <w:tc>
          <w:tcPr>
            <w:tcW w:w="1668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antibiotic use</w:t>
            </w:r>
          </w:p>
        </w:tc>
        <w:tc>
          <w:tcPr>
            <w:tcW w:w="1316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0-2 years</w:t>
            </w:r>
          </w:p>
        </w:tc>
        <w:tc>
          <w:tcPr>
            <w:tcW w:w="4747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Use of antibiotics</w:t>
            </w:r>
          </w:p>
        </w:tc>
        <w:tc>
          <w:tcPr>
            <w:tcW w:w="1558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  <w:tr w:rsidR="00F65656" w:rsidRPr="00EE21CD" w:rsidTr="00487CE2">
        <w:trPr>
          <w:trHeight w:val="322"/>
        </w:trPr>
        <w:tc>
          <w:tcPr>
            <w:tcW w:w="1668" w:type="dxa"/>
            <w:tcBorders>
              <w:right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adhd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Sensitivity Analysis ADHD</w:t>
            </w:r>
          </w:p>
        </w:tc>
        <w:tc>
          <w:tcPr>
            <w:tcW w:w="1316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7-12 years 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7-12 years </w:t>
            </w:r>
          </w:p>
        </w:tc>
        <w:tc>
          <w:tcPr>
            <w:tcW w:w="4747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 T-score above 65 derived from scores from the whole NTR population based on the scores of the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Conners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ADHDindex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&lt;EndNote&gt;&lt;Cite&gt;&lt;Author&gt;Conners&lt;/Author&gt;&lt;Year&gt;2008&lt;/Year&gt;&lt;IDText&gt;The Conners&amp;apos; Rating Scales-Revised (CRS-R)&lt;/IDText&gt;&lt;DisplayText&gt;&lt;style face="superscript"&gt;37&lt;/style&gt;&lt;/DisplayText&gt;&lt;record&gt;&lt;titles&gt;&lt;title&gt;The Conners&amp;apos; Rating Scales-Revised (CRS-R)&lt;/title&gt;&lt;/titles&gt;&lt;contributors&gt;&lt;authors&gt;&lt;author&gt;Conners CK&lt;/author&gt;&lt;/authors&gt;&lt;/contributors&gt;&lt;section&gt;170-171&lt;/section&gt;&lt;edition&gt;3&lt;/edition&gt;&lt;added-date format="utc"&gt;1556113207&lt;/added-date&gt;&lt;pub-location&gt;London&lt;/pub-location&gt;&lt;ref-type name="Book"&gt;6&lt;/ref-type&gt;&lt;dates&gt;&lt;year&gt;2008&lt;/year&gt;&lt;/dates&gt;&lt;rec-number&gt;509&lt;/rec-number&gt;&lt;publisher&gt;Pearson Clinical&lt;/publisher&gt;&lt;last-updated-date format="utc"&gt;1556113602&lt;/last-updated-date&gt;&lt;/record&gt;&lt;/Cite&gt;&lt;/EndNote&gt;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37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controls of 65 and lower. 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 T-score above 65 derived from scores from the whole NTR population based on the scores of the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Conners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ADHDindex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&lt;EndNote&gt;&lt;Cite&gt;&lt;Author&gt;Conners&lt;/Author&gt;&lt;Year&gt;2008&lt;/Year&gt;&lt;IDText&gt;The Conners&amp;apos; Rating Scales-Revised (CRS-R)&lt;/IDText&gt;&lt;DisplayText&gt;&lt;style face="superscript"&gt;37&lt;/style&gt;&lt;/DisplayText&gt;&lt;record&gt;&lt;titles&gt;&lt;title&gt;The Conners&amp;apos; Rating Scales-Revised (CRS-R)&lt;/title&gt;&lt;/titles&gt;&lt;contributors&gt;&lt;authors&gt;&lt;author&gt;Conners CK&lt;/author&gt;&lt;/authors&gt;&lt;/contributors&gt;&lt;section&gt;170-171&lt;/section&gt;&lt;edition&gt;3&lt;/edition&gt;&lt;added-date format="utc"&gt;1556113207&lt;/added-date&gt;&lt;pub-location&gt;London&lt;/pub-location&gt;&lt;ref-type name="Book"&gt;6&lt;/ref-type&gt;&lt;dates&gt;&lt;year&gt;2008&lt;/year&gt;&lt;/dates&gt;&lt;rec-number&gt;509&lt;/rec-number&gt;&lt;publisher&gt;Pearson Clinical&lt;/publisher&gt;&lt;last-updated-date format="utc"&gt;1556113602&lt;/last-updated-date&gt;&lt;/record&gt;&lt;/Cite&gt;&lt;/EndNote&gt;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37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controls of 55 and lower.</w:t>
            </w:r>
          </w:p>
        </w:tc>
        <w:tc>
          <w:tcPr>
            <w:tcW w:w="1558" w:type="dxa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F65656" w:rsidRPr="00EE21CD" w:rsidTr="00487CE2">
        <w:trPr>
          <w:trHeight w:val="60"/>
        </w:trPr>
        <w:tc>
          <w:tcPr>
            <w:tcW w:w="1668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</w:tc>
        <w:tc>
          <w:tcPr>
            <w:tcW w:w="1316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747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1558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  <w:tr w:rsidR="00F65656" w:rsidRPr="00EE21CD" w:rsidTr="00487CE2">
        <w:trPr>
          <w:trHeight w:val="60"/>
        </w:trPr>
        <w:tc>
          <w:tcPr>
            <w:tcW w:w="1668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ASD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Sensitivity analysis ASD</w:t>
            </w:r>
          </w:p>
        </w:tc>
        <w:tc>
          <w:tcPr>
            <w:tcW w:w="1316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7-12 years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7-12 years</w:t>
            </w:r>
          </w:p>
        </w:tc>
        <w:tc>
          <w:tcPr>
            <w:tcW w:w="4747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A T-score above 65 derived from scores from the whole NTR population based on the scores of the 10-item CBCL scale 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 &lt;EndNote&gt;&lt;Cite&gt;&lt;Author&gt;So&lt;/Author&gt;&lt;Year&gt;2013&lt;/Year&gt;&lt;IDText&gt;Using the Child Behavior Checklist and the Teacher&amp;apos;s Report Form for identification of children with autism spectrum disorders&lt;/IDText&gt;&lt;DisplayText&gt;&lt;style face="superscript"&gt;38&lt;/style&gt;&lt;/DisplayText&gt;&lt;record&gt;&lt;dates&gt;&lt;pub-dates&gt;&lt;date&gt;Sep&lt;/date&gt;&lt;/pub-dates&gt;&lt;year&gt;2013&lt;/year&gt;&lt;/dates&gt;&lt;keywords&gt;&lt;keyword&gt;Adolescent&lt;/keyword&gt;&lt;keyword&gt;Checklist&lt;/keyword&gt;&lt;keyword&gt;Child&lt;/keyword&gt;&lt;keyword&gt;Child Behavior&lt;/keyword&gt;&lt;keyword&gt;Child Development Disorders, Pervasive&lt;/keyword&gt;&lt;keyword&gt;Child, Preschool&lt;/keyword&gt;&lt;keyword&gt;Faculty&lt;/keyword&gt;&lt;keyword&gt;Female&lt;/keyword&gt;&lt;keyword&gt;Humans&lt;/keyword&gt;&lt;keyword&gt;Male&lt;/keyword&gt;&lt;keyword&gt;Reproducibility of Results&lt;/keyword&gt;&lt;keyword&gt;Sensitivity and Specificity&lt;/keyword&gt;&lt;keyword&gt;Surveys and Questionnaires&lt;/keyword&gt;&lt;keyword&gt;Child Behavior Checklist&lt;/keyword&gt;&lt;keyword&gt;Teacher’s Report Form&lt;/keyword&gt;&lt;keyword&gt;autism spectrum disorder&lt;/keyword&gt;&lt;keyword&gt;screening&lt;/keyword&gt;&lt;/keywords&gt;&lt;urls&gt;&lt;related-urls&gt;&lt;url&gt;https://www.ncbi.nlm.nih.gov/pubmed/22914776&lt;/url&gt;&lt;/related-urls&gt;&lt;/urls&gt;&lt;isbn&gt;1461-7005&lt;/isbn&gt;&lt;titles&gt;&lt;title&gt;Using the Child Behavior Checklist and the Teacher&amp;apos;s Report Form for identification of children with autism spectrum disorders&lt;/title&gt;&lt;secondary-title&gt;Autism&lt;/secondary-title&gt;&lt;/titles&gt;&lt;pages&gt;595-607&lt;/pages&gt;&lt;number&gt;5&lt;/number&gt;&lt;contributors&gt;&lt;authors&gt;&lt;author&gt;So, P.&lt;/author&gt;&lt;author&gt;Greaves-Lord, K.&lt;/author&gt;&lt;author&gt;van der Ende, J.&lt;/author&gt;&lt;author&gt;Verhulst, F. C.&lt;/author&gt;&lt;author&gt;Rescorla, L.&lt;/author&gt;&lt;author&gt;de Nijs, P. F.&lt;/author&gt;&lt;/authors&gt;&lt;/contributors&gt;&lt;edition&gt;2012/08/21&lt;/edition&gt;&lt;language&gt;eng&lt;/language&gt;&lt;added-date format="utc"&gt;1556112868&lt;/added-date&gt;&lt;ref-type name="Journal Article"&gt;17&lt;/ref-type&gt;&lt;rec-number&gt;508&lt;/rec-number&gt;&lt;last-updated-date format="utc"&gt;1556112868&lt;/last-updated-date&gt;&lt;accession-num&gt;22914776&lt;/accession-num&gt;&lt;electronic-resource-num&gt;10.1177/1362361312448855&lt;/electronic-resource-num&gt;&lt;volume&gt;17&lt;/volume&gt;&lt;/record&gt;&lt;/Cite&gt;&lt;/EndNote&gt;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</w:rPr>
              <w:t>38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</w:rPr>
              <w:t xml:space="preserve"> and controls of 65 and lower.   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A T-score above 65 derived from scores from the whole NTR population based on the scores of the 10-item CBCL scale 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 &lt;EndNote&gt;&lt;Cite&gt;&lt;Author&gt;So&lt;/Author&gt;&lt;Year&gt;2013&lt;/Year&gt;&lt;IDText&gt;Using the Child Behavior Checklist and the Teacher&amp;apos;s Report Form for identification of children with autism spectrum disorders&lt;/IDText&gt;&lt;DisplayText&gt;&lt;style face="superscript"&gt;38&lt;/style&gt;&lt;/DisplayText&gt;&lt;record&gt;&lt;dates&gt;&lt;pub-dates&gt;&lt;date&gt;Sep&lt;/date&gt;&lt;/pub-dates&gt;&lt;year&gt;2013&lt;/year&gt;&lt;/dates&gt;&lt;keywords&gt;&lt;keyword&gt;Adolescent&lt;/keyword&gt;&lt;keyword&gt;Checklist&lt;/keyword&gt;&lt;keyword&gt;Child&lt;/keyword&gt;&lt;keyword&gt;Child Behavior&lt;/keyword&gt;&lt;keyword&gt;Child Development Disorders, Pervasive&lt;/keyword&gt;&lt;keyword&gt;Child, Preschool&lt;/keyword&gt;&lt;keyword&gt;Faculty&lt;/keyword&gt;&lt;keyword&gt;Female&lt;/keyword&gt;&lt;keyword&gt;Humans&lt;/keyword&gt;&lt;keyword&gt;Male&lt;/keyword&gt;&lt;keyword&gt;Reproducibility of Results&lt;/keyword&gt;&lt;keyword&gt;Sensitivity and Specificity&lt;/keyword&gt;&lt;keyword&gt;Surveys and Questionnaires&lt;/keyword&gt;&lt;keyword&gt;Child Behavior Checklist&lt;/keyword&gt;&lt;keyword&gt;Teacher’s Report Form&lt;/keyword&gt;&lt;keyword&gt;autism spectrum disorder&lt;/keyword&gt;&lt;keyword&gt;screening&lt;/keyword&gt;&lt;/keywords&gt;&lt;urls&gt;&lt;related-urls&gt;&lt;url&gt;https://www.ncbi.nlm.nih.gov/pubmed/22914776&lt;/url&gt;&lt;/related-urls&gt;&lt;/urls&gt;&lt;isbn&gt;1461-7005&lt;/isbn&gt;&lt;titles&gt;&lt;title&gt;Using the Child Behavior Checklist and the Teacher&amp;apos;s Report Form for identification of children with autism spectrum disorders&lt;/title&gt;&lt;secondary-title&gt;Autism&lt;/secondary-title&gt;&lt;/titles&gt;&lt;pages&gt;595-607&lt;/pages&gt;&lt;number&gt;5&lt;/number&gt;&lt;contributors&gt;&lt;authors&gt;&lt;author&gt;So, P.&lt;/author&gt;&lt;author&gt;Greaves-Lord, K.&lt;/author&gt;&lt;author&gt;van der Ende, J.&lt;/author&gt;&lt;author&gt;Verhulst, F. C.&lt;/author&gt;&lt;author&gt;Rescorla, L.&lt;/author&gt;&lt;author&gt;de Nijs, P. F.&lt;/author&gt;&lt;/authors&gt;&lt;/contributors&gt;&lt;edition&gt;2012/08/21&lt;/edition&gt;&lt;language&gt;eng&lt;/language&gt;&lt;added-date format="utc"&gt;1556112868&lt;/added-date&gt;&lt;ref-type name="Journal Article"&gt;17&lt;/ref-type&gt;&lt;rec-number&gt;508&lt;/rec-number&gt;&lt;last-updated-date format="utc"&gt;1556112868&lt;/last-updated-date&gt;&lt;accession-num&gt;22914776&lt;/accession-num&gt;&lt;electronic-resource-num&gt;10.1177/1362361312448855&lt;/electronic-resource-num&gt;&lt;volume&gt;17&lt;/volume&gt;&lt;/record&gt;&lt;/Cite&gt;&lt;/EndNote&gt;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</w:rPr>
              <w:t>38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</w:rPr>
              <w:t xml:space="preserve"> and controls of 55 and lower.   </w:t>
            </w:r>
          </w:p>
        </w:tc>
        <w:tc>
          <w:tcPr>
            <w:tcW w:w="1558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</w:tbl>
    <w:p w:rsidR="00F65656" w:rsidRPr="00EE21CD" w:rsidRDefault="00F65656" w:rsidP="00F65656">
      <w:pPr>
        <w:rPr>
          <w:rFonts w:ascii="Times New Roman" w:hAnsi="Times New Roman" w:cs="Times New Roman"/>
        </w:rPr>
      </w:pPr>
    </w:p>
    <w:p w:rsidR="00F65656" w:rsidRPr="00EE21CD" w:rsidRDefault="00F65656" w:rsidP="00F65656">
      <w:pPr>
        <w:keepNext/>
        <w:spacing w:after="120" w:line="240" w:lineRule="auto"/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767171"/>
          <w:sz w:val="18"/>
          <w:szCs w:val="18"/>
          <w:lang w:val="en-US"/>
        </w:rPr>
        <w:t>2. Overview CATSS survey questions and outcome definitions regarding early-life antibiotic use, ADHD and autism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604"/>
        <w:gridCol w:w="1019"/>
        <w:gridCol w:w="1776"/>
        <w:gridCol w:w="1019"/>
        <w:gridCol w:w="1337"/>
        <w:gridCol w:w="2533"/>
      </w:tblGrid>
      <w:tr w:rsidR="00F65656" w:rsidRPr="00EE21CD" w:rsidTr="00487CE2">
        <w:trPr>
          <w:trHeight w:val="297"/>
        </w:trPr>
        <w:tc>
          <w:tcPr>
            <w:tcW w:w="1604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 xml:space="preserve">Survey item </w:t>
            </w:r>
          </w:p>
        </w:tc>
        <w:tc>
          <w:tcPr>
            <w:tcW w:w="1019" w:type="dxa"/>
            <w:tcBorders>
              <w:bottom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Intended age</w:t>
            </w:r>
          </w:p>
        </w:tc>
        <w:tc>
          <w:tcPr>
            <w:tcW w:w="1776" w:type="dxa"/>
            <w:tcBorders>
              <w:bottom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 xml:space="preserve">Outcome Definition </w:t>
            </w:r>
          </w:p>
        </w:tc>
        <w:tc>
          <w:tcPr>
            <w:tcW w:w="1019" w:type="dxa"/>
            <w:tcBorders>
              <w:bottom w:val="single" w:sz="4" w:space="0" w:color="7F7F7F"/>
            </w:tcBorders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</w:tc>
        <w:tc>
          <w:tcPr>
            <w:tcW w:w="1337" w:type="dxa"/>
            <w:tcBorders>
              <w:bottom w:val="single" w:sz="4" w:space="0" w:color="7F7F7F"/>
            </w:tcBorders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</w:p>
        </w:tc>
        <w:tc>
          <w:tcPr>
            <w:tcW w:w="2533" w:type="dxa"/>
            <w:tcBorders>
              <w:bottom w:val="single" w:sz="4" w:space="0" w:color="7F7F7F"/>
            </w:tcBorders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CODES</w:t>
            </w: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antibiotic use</w:t>
            </w:r>
          </w:p>
        </w:tc>
        <w:tc>
          <w:tcPr>
            <w:tcW w:w="1019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0-2 years</w:t>
            </w:r>
          </w:p>
        </w:tc>
        <w:tc>
          <w:tcPr>
            <w:tcW w:w="4132" w:type="dxa"/>
            <w:gridSpan w:val="3"/>
            <w:vMerge w:val="restart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Use of antibiotics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Diagnosis of ADHD based on the A-TAC questionnaire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E21CD">
              <w:rPr>
                <w:rFonts w:ascii="Times New Roman" w:hAnsi="Times New Roman" w:cs="Times New Roman"/>
                <w:sz w:val="14"/>
              </w:rPr>
              <w:t>Cutoffs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</w:rPr>
              <w:t xml:space="preserve">: 6.0 and 12.5 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>
                <w:fldData xml:space="preserve">PEVuZE5vdGU+PENpdGU+PEF1dGhvcj5MYXJzb248L0F1dGhvcj48WWVhcj4yMDEzPC9ZZWFyPjxJ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</w:fldData>
              </w:fldChar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 </w:instrTex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>
                <w:fldData xml:space="preserve">PEVuZE5vdGU+PENpdGU+PEF1dGhvcj5MYXJzb248L0F1dGhvcj48WWVhcj4yMDEzPC9ZZWFyPjxJ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</w:fldData>
              </w:fldChar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EN.CITE.DATA </w:instrText>
            </w:r>
            <w:r w:rsidRPr="00EE21CD">
              <w:rPr>
                <w:rFonts w:ascii="Times New Roman" w:hAnsi="Times New Roman" w:cs="Times New Roman"/>
                <w:sz w:val="14"/>
              </w:rPr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</w:rPr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</w:rPr>
              <w:t>39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Diagnosis of ASD based on the A-TAC questionnaire</w:t>
            </w:r>
          </w:p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EE21CD">
              <w:rPr>
                <w:rFonts w:ascii="Times New Roman" w:hAnsi="Times New Roman" w:cs="Times New Roman"/>
                <w:sz w:val="14"/>
              </w:rPr>
              <w:t>Cutoffs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</w:rPr>
              <w:t xml:space="preserve">: 4.5 and 8.5 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>
                <w:fldData xml:space="preserve">PEVuZE5vdGU+PENpdGU+PEF1dGhvcj5MYXJzb248L0F1dGhvcj48WWVhcj4yMDEzPC9ZZWFyPjxJ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</w:fldData>
              </w:fldChar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 </w:instrTex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begin">
                <w:fldData xml:space="preserve">PEVuZE5vdGU+PENpdGU+PEF1dGhvcj5MYXJzb248L0F1dGhvcj48WWVhcj4yMDEzPC9ZZWFyPjxJ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</w:fldData>
              </w:fldChar>
            </w:r>
            <w:r w:rsidRPr="00EE21CD">
              <w:rPr>
                <w:rFonts w:ascii="Times New Roman" w:hAnsi="Times New Roman" w:cs="Times New Roman"/>
                <w:sz w:val="14"/>
              </w:rPr>
              <w:instrText xml:space="preserve"> ADDIN EN.CITE.DATA </w:instrText>
            </w:r>
            <w:r w:rsidRPr="00EE21CD">
              <w:rPr>
                <w:rFonts w:ascii="Times New Roman" w:hAnsi="Times New Roman" w:cs="Times New Roman"/>
                <w:sz w:val="14"/>
              </w:rPr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</w:rPr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</w:rPr>
              <w:t>39</w:t>
            </w:r>
            <w:r w:rsidRPr="00EE21CD">
              <w:rPr>
                <w:rFonts w:ascii="Times New Roman" w:hAnsi="Times New Roman" w:cs="Times New Roman"/>
                <w:sz w:val="14"/>
              </w:rPr>
              <w:fldChar w:fldCharType="end"/>
            </w:r>
          </w:p>
        </w:tc>
        <w:tc>
          <w:tcPr>
            <w:tcW w:w="2533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ATC code J01 </w:t>
            </w:r>
          </w:p>
        </w:tc>
      </w:tr>
      <w:tr w:rsidR="00F65656" w:rsidRPr="00EE21CD" w:rsidTr="00487CE2">
        <w:trPr>
          <w:trHeight w:val="322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ADHD ATAC</w:t>
            </w:r>
          </w:p>
        </w:tc>
        <w:tc>
          <w:tcPr>
            <w:tcW w:w="1019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9 years</w:t>
            </w:r>
          </w:p>
        </w:tc>
        <w:tc>
          <w:tcPr>
            <w:tcW w:w="4132" w:type="dxa"/>
            <w:gridSpan w:val="3"/>
            <w:vMerge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Modules Concentration and attention  and Impulsiveness and activity: </w:t>
            </w:r>
          </w:p>
        </w:tc>
      </w:tr>
      <w:tr w:rsidR="00F65656" w:rsidRPr="00EE21CD" w:rsidTr="00487CE2">
        <w:trPr>
          <w:trHeight w:val="560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ASD ATAC</w:t>
            </w:r>
          </w:p>
        </w:tc>
        <w:tc>
          <w:tcPr>
            <w:tcW w:w="1019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9 years</w:t>
            </w:r>
          </w:p>
        </w:tc>
        <w:tc>
          <w:tcPr>
            <w:tcW w:w="4132" w:type="dxa"/>
            <w:gridSpan w:val="3"/>
            <w:vMerge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33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Modules Language, Social interaction and Flexibility. </w:t>
            </w: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ADHD Diagnosis</w:t>
            </w:r>
          </w:p>
        </w:tc>
        <w:tc>
          <w:tcPr>
            <w:tcW w:w="1019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9 years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ICD 10-code: F90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&lt;EndNote&gt;&lt;Cite&gt;&lt;Author&gt;Taylor&lt;/Author&gt;&lt;Year&gt;2018&lt;/Year&gt;&lt;IDText&gt;Association of Genetic Risk Factors for Psychiatric Disorders and Traits of These Disorders in a Swedish Population Twin Sample&lt;/IDText&gt;&lt;DisplayText&gt;&lt;style face="superscript"&gt;49&lt;/style&gt;&lt;/DisplayText&gt;&lt;record&gt;&lt;dates&gt;&lt;pub-dates&gt;&lt;date&gt;Dec&lt;/date&gt;&lt;/pub-dates&gt;&lt;year&gt;2018&lt;/year&gt;&lt;/dates&gt;&lt;urls&gt;&lt;related-urls&gt;&lt;url&gt;https://www.ncbi.nlm.nih.gov/pubmed/30566181&lt;/url&gt;&lt;/related-urls&gt;&lt;/urls&gt;&lt;isbn&gt;2168-6238&lt;/isbn&gt;&lt;titles&gt;&lt;title&gt;Association of Genetic Risk Factors for Psychiatric Disorders and Traits of These Disorders in a Swedish Population Twin Sample&lt;/title&gt;&lt;secondary-title&gt;JAMA Psychiatry&lt;/secondary-title&gt;&lt;/titles&gt;&lt;contributors&gt;&lt;authors&gt;&lt;author&gt;Taylor, M. J.&lt;/author&gt;&lt;author&gt;Martin, J.&lt;/author&gt;&lt;author&gt;Lu, Y.&lt;/author&gt;&lt;author&gt;Brikell, I.&lt;/author&gt;&lt;author&gt;Lundström, S.&lt;/author&gt;&lt;author&gt;Larsson, H.&lt;/author&gt;&lt;author&gt;Lichtenstein, P.&lt;/author&gt;&lt;/authors&gt;&lt;/contributors&gt;&lt;edition&gt;2018/12/19&lt;/edition&gt;&lt;language&gt;eng&lt;/language&gt;&lt;added-date format="utc"&gt;1556270554&lt;/added-date&gt;&lt;ref-type name="Journal Article"&gt;17&lt;/ref-type&gt;&lt;rec-number&gt;525&lt;/rec-number&gt;&lt;last-updated-date format="utc"&gt;1556270554&lt;/last-updated-date&gt;&lt;accession-num&gt;30566181&lt;/accession-num&gt;&lt;electronic-resource-num&gt;10.1001/jamapsychiatry.2018.3652&lt;/electronic-resource-num&gt;&lt;/record&gt;&lt;/Cite&gt;&lt;/EndNote&gt;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49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</w:rPr>
              <w:t>ASD DIAGNOSIS</w:t>
            </w:r>
          </w:p>
        </w:tc>
        <w:tc>
          <w:tcPr>
            <w:tcW w:w="1019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9 years</w:t>
            </w:r>
          </w:p>
        </w:tc>
        <w:tc>
          <w:tcPr>
            <w:tcW w:w="4132" w:type="dxa"/>
            <w:gridSpan w:val="3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ICD 10-code: F84, but not F84.4 or F84.3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&lt;EndNote&gt;&lt;Cite&gt;&lt;Author&gt;Taylor&lt;/Author&gt;&lt;Year&gt;2018&lt;/Year&gt;&lt;IDText&gt;Association of Genetic Risk Factors for Psychiatric Disorders and Traits of These Disorders in a Swedish Population Twin Sample&lt;/IDText&gt;&lt;DisplayText&gt;&lt;style face="superscript"&gt;49&lt;/style&gt;&lt;/DisplayText&gt;&lt;record&gt;&lt;dates&gt;&lt;pub-dates&gt;&lt;date&gt;Dec&lt;/date&gt;&lt;/pub-dates&gt;&lt;year&gt;2018&lt;/year&gt;&lt;/dates&gt;&lt;urls&gt;&lt;related-urls&gt;&lt;url&gt;https://www.ncbi.nlm.nih.gov/pubmed/30566181&lt;/url&gt;&lt;/related-urls&gt;&lt;/urls&gt;&lt;isbn&gt;2168-6238&lt;/isbn&gt;&lt;titles&gt;&lt;title&gt;Association of Genetic Risk Factors for Psychiatric Disorders and Traits of These Disorders in a Swedish Population Twin Sample&lt;/title&gt;&lt;secondary-title&gt;JAMA Psychiatry&lt;/secondary-title&gt;&lt;/titles&gt;&lt;contributors&gt;&lt;authors&gt;&lt;author&gt;Taylor, M. J.&lt;/author&gt;&lt;author&gt;Martin, J.&lt;/author&gt;&lt;author&gt;Lu, Y.&lt;/author&gt;&lt;author&gt;Brikell, I.&lt;/author&gt;&lt;author&gt;Lundström, S.&lt;/author&gt;&lt;author&gt;Larsson, H.&lt;/author&gt;&lt;author&gt;Lichtenstein, P.&lt;/author&gt;&lt;/authors&gt;&lt;/contributors&gt;&lt;edition&gt;2018/12/19&lt;/edition&gt;&lt;language&gt;eng&lt;/language&gt;&lt;added-date format="utc"&gt;1556270554&lt;/added-date&gt;&lt;ref-type name="Journal Article"&gt;17&lt;/ref-type&gt;&lt;rec-number&gt;525&lt;/rec-number&gt;&lt;last-updated-date format="utc"&gt;1556270554&lt;/last-updated-date&gt;&lt;accession-num&gt;30566181&lt;/accession-num&gt;&lt;electronic-resource-num&gt;10.1001/jamapsychiatry.2018.3652&lt;/electronic-resource-num&gt;&lt;/record&gt;&lt;/Cite&gt;&lt;/EndNote&gt;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49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</w:p>
        </w:tc>
        <w:tc>
          <w:tcPr>
            <w:tcW w:w="2533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  <w:t>Anti-AERoBIC ANTIBIOTICS</w:t>
            </w:r>
          </w:p>
        </w:tc>
        <w:tc>
          <w:tcPr>
            <w:tcW w:w="1019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0-2 years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Use of the following antibiotics: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tetracyclines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other than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tigecycline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beta-lactamase sensitive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penicillins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penicillins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with extended spectrum, beta-lactamase resistant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penicillins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cephalosporins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other than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cefoxitin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cefmetazole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flomoxef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monobactams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sulfonamides and trimethoprim, macrolides, aminoglycosides, quinolones other than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moxifloxacin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glycopeptides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polymyxins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nitrofuran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derivates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fusidic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acid,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fosfomycin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linezolid,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spectinomycin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daptomycin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.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>
                <w:fldData xml:space="preserve">PEVuZE5vdGU+PENpdGU+PEF1dGhvcj5XYW5nPC9BdXRob3I+PFllYXI+MjAxNDwvWWVhcj48SURU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</w:fldData>
              </w:fldCha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>
                <w:fldData xml:space="preserve">PEVuZE5vdGU+PENpdGU+PEF1dGhvcj5XYW5nPC9BdXRob3I+PFllYXI+MjAxNDwvWWVhcj48SURU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</w:fldData>
              </w:fldCha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EN.CITE.DATA 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44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color w:val="FF0000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ATC codes: J01AA01, J01AA02, J01AA03, J01AA04, J01AA05, J01AA06, J01AA07, J01AA08, J01AA09, J01AA10, J01AA11, J01AA13, J01AA20, J01AA56, J01CA, J01CE, J01CF, J01DC02, J01DC03, J01DC04, J01DC05, J01DC06, J01DC07, J01DC08, J01DC10, J01DC11, J01DC12, J01DC13, J01DF, J01EE, J01FA, J01G, J01MA01, J01MA02, J01MA03, J01MA04, J01MA05, J01MA06, J01MA08, J01MA09, J01MA10, J01MA11, J01MA12, J01MA13, J01MA15, J01MA16, J01MA17, J01MA18,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lastRenderedPageBreak/>
              <w:t>J01MA19, J01MA21, J01MA22, J01MA23, J01MB, J01XA, J01XB, J01XE, J01XC01, J01XX01, J01XX08, J01XX04, J01XX09.</w:t>
            </w: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  <w:lastRenderedPageBreak/>
              <w:t>Anti-AnEAROBIC ANTIBIOTICS</w:t>
            </w:r>
          </w:p>
        </w:tc>
        <w:tc>
          <w:tcPr>
            <w:tcW w:w="1019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0-2 years</w:t>
            </w:r>
          </w:p>
        </w:tc>
        <w:tc>
          <w:tcPr>
            <w:tcW w:w="4132" w:type="dxa"/>
            <w:gridSpan w:val="3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Use of the following antibiotics: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tigecycline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ampicillin and enzyme inhibitors, amoxicillin and enzyme inhibitors,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ticarcillin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enzyme inhibitors,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pipracillin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enzyme inhibitors,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cefoxitin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cefmetazole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flomoxef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meropenem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ertapenem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imipenem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and enzyme inhibitors, clindamycin,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moxifloxacin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metronidazole.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>
                <w:fldData xml:space="preserve">PEVuZE5vdGU+PENpdGU+PEF1dGhvcj5XYW5nPC9BdXRob3I+PFllYXI+MjAxNDwvWWVhcj48SURU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</w:fldData>
              </w:fldCha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>
                <w:fldData xml:space="preserve">PEVuZE5vdGU+PENpdGU+PEF1dGhvcj5XYW5nPC9BdXRob3I+PFllYXI+MjAxNDwvWWVhcj48SURU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</w:fldData>
              </w:fldCha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EN.CITE.DATA 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44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</w:p>
        </w:tc>
        <w:tc>
          <w:tcPr>
            <w:tcW w:w="2533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ATC code: J01AA12, J01CR01, J01CR02, J01DC01, J01CR03, J01CR05, J01DC09, J01DC14, J01DH02, J01DH03, J01DH51, J01FF01, J01MA14, J01XD01. </w:t>
            </w: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  <w:t>SMalL Spectrum ANTIBIOTICS</w:t>
            </w:r>
          </w:p>
        </w:tc>
        <w:tc>
          <w:tcPr>
            <w:tcW w:w="1019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>0-2 years</w:t>
            </w:r>
          </w:p>
        </w:tc>
        <w:tc>
          <w:tcPr>
            <w:tcW w:w="4132" w:type="dxa"/>
            <w:gridSpan w:val="3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Use of the following antibiotics: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vancomycin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(oral),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benzylpenicillin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phenoxymethylpenicillin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dicloxacillin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flucloxacillin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cephalexine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aztreonam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trimethoprim,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sulfamethizole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erythromycin,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roxithromycin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clarithromycin, azithromycin, clindamycin,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vancomycin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teicoplanin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fusic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acid, metronidazole (intravenous),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fusidic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acid, metronidazole,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nitrofurantoin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linezolide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daptomycin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rifampicin,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rifabutin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metronidazole.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&lt;EndNote&gt;&lt;Cite&gt;&lt;Author&gt;Clausen&lt;/Author&gt;&lt;Year&gt;2016&lt;/Year&gt;&lt;IDText&gt;Broad-Spectrum Antibiotic Treatment and Subsequent Childhood Type 1 Diabetes: A Nationwide Danish Cohort Study&lt;/IDText&gt;&lt;DisplayText&gt;&lt;style face="superscript"&gt;43&lt;/style&gt;&lt;/DisplayText&gt;&lt;record&gt;&lt;keywords&gt;&lt;keyword&gt;Adolescent&lt;/keyword&gt;&lt;keyword&gt;Anti-Bacterial Agents&lt;/keyword&gt;&lt;keyword&gt;Cesarean Section&lt;/keyword&gt;&lt;keyword&gt;Child&lt;/keyword&gt;&lt;keyword&gt;Child, Preschool&lt;/keyword&gt;&lt;keyword&gt;Cohort Studies&lt;/keyword&gt;&lt;keyword&gt;Delivery, Obstetric&lt;/keyword&gt;&lt;keyword&gt;Denmark&lt;/keyword&gt;&lt;keyword&gt;Diabetes Mellitus, Type 1&lt;/keyword&gt;&lt;keyword&gt;Female&lt;/keyword&gt;&lt;keyword&gt;Humans&lt;/keyword&gt;&lt;keyword&gt;Male&lt;/keyword&gt;&lt;keyword&gt;Pregnancy&lt;/keyword&gt;&lt;keyword&gt;Proportional Hazards Models&lt;/keyword&gt;&lt;keyword&gt;Registries&lt;/keyword&gt;&lt;/keywords&gt;&lt;urls&gt;&lt;related-urls&gt;&lt;url&gt;https://www.ncbi.nlm.nih.gov/pubmed/27560963&lt;/url&gt;&lt;/related-urls&gt;&lt;/urls&gt;&lt;isbn&gt;1932-6203&lt;/isbn&gt;&lt;custom2&gt;PMC4999141&lt;/custom2&gt;&lt;titles&gt;&lt;title&gt;Broad-Spectrum Antibiotic Treatment and Subsequent Childhood Type 1 Diabetes: A Nationwide Danish Cohort Study&lt;/title&gt;&lt;secondary-title&gt;PLoS One&lt;/secondary-title&gt;&lt;/titles&gt;&lt;pages&gt;e0161654&lt;/pages&gt;&lt;number&gt;8&lt;/number&gt;&lt;contributors&gt;&lt;authors&gt;&lt;author&gt;Clausen, T. D.&lt;/author&gt;&lt;author&gt;Bergholt, T.&lt;/author&gt;&lt;author&gt;Bouaziz, O.&lt;/author&gt;&lt;author&gt;Arpi, M.&lt;/author&gt;&lt;author&gt;Eriksson, F.&lt;/author&gt;&lt;author&gt;Rasmussen, S.&lt;/author&gt;&lt;author&gt;Keiding, N.&lt;/author&gt;&lt;author&gt;Løkkegaard, E. C.&lt;/author&gt;&lt;/authors&gt;&lt;/contributors&gt;&lt;edition&gt;2016/08/25&lt;/edition&gt;&lt;language&gt;eng&lt;/language&gt;&lt;added-date format="utc"&gt;1556272855&lt;/added-date&gt;&lt;ref-type name="Journal Article"&gt;17&lt;/ref-type&gt;&lt;dates&gt;&lt;year&gt;2016&lt;/year&gt;&lt;/dates&gt;&lt;rec-number&gt;526&lt;/rec-number&gt;&lt;last-updated-date format="utc"&gt;1556272855&lt;/last-updated-date&gt;&lt;accession-num&gt;27560963&lt;/accession-num&gt;&lt;electronic-resource-num&gt;10.1371/journal.pone.0161654&lt;/electronic-resource-num&gt;&lt;volume&gt;11&lt;/volume&gt;&lt;/record&gt;&lt;/Cite&gt;&lt;/EndNote&gt;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43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ATC code: A07AA09, J01CE01, J01CE02, J01CF01, J01CF05, J01DB01, J01DF01, J01EA0, J01EB02, J01FA01, J01FA06, J01FA09, J01FA10, J01FF01, J01XA01, J01XA02, J01XC01, J01XD01, J01XE01, J01XX08, J01XX09, J04AB02, J04AB04, P01AB01. </w:t>
            </w:r>
          </w:p>
        </w:tc>
      </w:tr>
      <w:tr w:rsidR="00F65656" w:rsidRPr="00EE21CD" w:rsidTr="00487CE2">
        <w:trPr>
          <w:trHeight w:val="297"/>
        </w:trPr>
        <w:tc>
          <w:tcPr>
            <w:tcW w:w="1604" w:type="dxa"/>
            <w:tcBorders>
              <w:right w:val="single" w:sz="4" w:space="0" w:color="7F7F7F"/>
            </w:tcBorders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b/>
                <w:bCs/>
                <w:caps/>
                <w:sz w:val="14"/>
                <w:lang w:val="en-US"/>
              </w:rPr>
              <w:t>BROAD SpECTRUM ANTIBIOTICS</w:t>
            </w:r>
          </w:p>
        </w:tc>
        <w:tc>
          <w:tcPr>
            <w:tcW w:w="1019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</w:rPr>
            </w:pPr>
            <w:r w:rsidRPr="00EE21CD">
              <w:rPr>
                <w:rFonts w:ascii="Times New Roman" w:hAnsi="Times New Roman" w:cs="Times New Roman"/>
                <w:sz w:val="14"/>
              </w:rPr>
              <w:t xml:space="preserve">0-2 years </w:t>
            </w:r>
          </w:p>
        </w:tc>
        <w:tc>
          <w:tcPr>
            <w:tcW w:w="4132" w:type="dxa"/>
            <w:gridSpan w:val="3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Use of the following antibiotics: doxycycline,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lymecline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tetracyclines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tigecycline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ampicillin,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pivampicillin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amoxicillin,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pivmecillinam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mecillinam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, amoxicillin-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clavulanic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acid,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piperacillin-tazobactam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cefuroxime,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cefataxime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ceftazidime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ceftriaxone,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meropenem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ertapenem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sulfamethoxazole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-trimethoprim, tobramycin, gentamycin,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ofloxacin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ciprofloxacin,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moxifloxacin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>colistinmethatnatrium</w:t>
            </w:r>
            <w:proofErr w:type="spellEnd"/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begin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instrText xml:space="preserve"> ADDIN EN.CITE &lt;EndNote&gt;&lt;Cite&gt;&lt;Author&gt;Clausen&lt;/Author&gt;&lt;Year&gt;2016&lt;/Year&gt;&lt;IDText&gt;Broad-Spectrum Antibiotic Treatment and Subsequent Childhood Type 1 Diabetes: A Nationwide Danish Cohort Study&lt;/IDText&gt;&lt;DisplayText&gt;&lt;style face="superscript"&gt;43&lt;/style&gt;&lt;/DisplayText&gt;&lt;record&gt;&lt;keywords&gt;&lt;keyword&gt;Adolescent&lt;/keyword&gt;&lt;keyword&gt;Anti-Bacterial Agents&lt;/keyword&gt;&lt;keyword&gt;Cesarean Section&lt;/keyword&gt;&lt;keyword&gt;Child&lt;/keyword&gt;&lt;keyword&gt;Child, Preschool&lt;/keyword&gt;&lt;keyword&gt;Cohort Studies&lt;/keyword&gt;&lt;keyword&gt;Delivery, Obstetric&lt;/keyword&gt;&lt;keyword&gt;Denmark&lt;/keyword&gt;&lt;keyword&gt;Diabetes Mellitus, Type 1&lt;/keyword&gt;&lt;keyword&gt;Female&lt;/keyword&gt;&lt;keyword&gt;Humans&lt;/keyword&gt;&lt;keyword&gt;Male&lt;/keyword&gt;&lt;keyword&gt;Pregnancy&lt;/keyword&gt;&lt;keyword&gt;Proportional Hazards Models&lt;/keyword&gt;&lt;keyword&gt;Registries&lt;/keyword&gt;&lt;/keywords&gt;&lt;urls&gt;&lt;related-urls&gt;&lt;url&gt;https://www.ncbi.nlm.nih.gov/pubmed/27560963&lt;/url&gt;&lt;/related-urls&gt;&lt;/urls&gt;&lt;isbn&gt;1932-6203&lt;/isbn&gt;&lt;custom2&gt;PMC4999141&lt;/custom2&gt;&lt;titles&gt;&lt;title&gt;Broad-Spectrum Antibiotic Treatment and Subsequent Childhood Type 1 Diabetes: A Nationwide Danish Cohort Study&lt;/title&gt;&lt;secondary-title&gt;PLoS One&lt;/secondary-title&gt;&lt;/titles&gt;&lt;pages&gt;e0161654&lt;/pages&gt;&lt;number&gt;8&lt;/number&gt;&lt;contributors&gt;&lt;authors&gt;&lt;author&gt;Clausen, T. D.&lt;/author&gt;&lt;author&gt;Bergholt, T.&lt;/author&gt;&lt;author&gt;Bouaziz, O.&lt;/author&gt;&lt;author&gt;Arpi, M.&lt;/author&gt;&lt;author&gt;Eriksson, F.&lt;/author&gt;&lt;author&gt;Rasmussen, S.&lt;/author&gt;&lt;author&gt;Keiding, N.&lt;/author&gt;&lt;author&gt;Løkkegaard, E. C.&lt;/author&gt;&lt;/authors&gt;&lt;/contributors&gt;&lt;edition&gt;2016/08/25&lt;/edition&gt;&lt;language&gt;eng&lt;/language&gt;&lt;added-date format="utc"&gt;1556272855&lt;/added-date&gt;&lt;ref-type name="Journal Article"&gt;17&lt;/ref-type&gt;&lt;dates&gt;&lt;year&gt;2016&lt;/year&gt;&lt;/dates&gt;&lt;rec-number&gt;526&lt;/rec-number&gt;&lt;last-updated-date format="utc"&gt;1556272855&lt;/last-updated-date&gt;&lt;accession-num&gt;27560963&lt;/accession-num&gt;&lt;electronic-resource-num&gt;10.1371/journal.pone.0161654&lt;/electronic-resource-num&gt;&lt;volume&gt;11&lt;/volume&gt;&lt;/record&gt;&lt;/Cite&gt;&lt;/EndNote&gt;</w:instrTex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separate"/>
            </w:r>
            <w:r w:rsidRPr="00EE21CD">
              <w:rPr>
                <w:rFonts w:ascii="Times New Roman" w:hAnsi="Times New Roman" w:cs="Times New Roman"/>
                <w:noProof/>
                <w:sz w:val="14"/>
                <w:vertAlign w:val="superscript"/>
                <w:lang w:val="en-US"/>
              </w:rPr>
              <w:t>43</w:t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fldChar w:fldCharType="end"/>
            </w: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</w:p>
        </w:tc>
        <w:tc>
          <w:tcPr>
            <w:tcW w:w="2533" w:type="dxa"/>
            <w:shd w:val="clear" w:color="auto" w:fill="D9D9D9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4"/>
                <w:lang w:val="en-US"/>
              </w:rPr>
              <w:t xml:space="preserve">ATC code: J01AA01, J01AA04, J01AA07, J01AA12, J01CA01, J01CA02, J01CA04, J01CA08, J01CA11, J01CR02, J01CR05, J01DC02, J01DD01, J01DD02, J01DD04, J01DH02, J01DH03, J01EE01, J01GB01, J01GB03, J01MA01, J01MA14, J01XB01. </w:t>
            </w:r>
          </w:p>
        </w:tc>
      </w:tr>
    </w:tbl>
    <w:p w:rsidR="00F65656" w:rsidRPr="00EE21CD" w:rsidRDefault="00F65656" w:rsidP="00F65656">
      <w:pPr>
        <w:rPr>
          <w:rFonts w:ascii="Times New Roman" w:hAnsi="Times New Roman" w:cs="Times New Roman"/>
          <w:b/>
        </w:rPr>
      </w:pP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3. Risk of high cut off ADHD due to early-life antibiotic use in CATSS</w:t>
      </w:r>
    </w:p>
    <w:p w:rsidR="00F65656" w:rsidRPr="00EE21CD" w:rsidRDefault="00F65656" w:rsidP="00F65656">
      <w:pPr>
        <w:keepNext/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7"/>
        <w:gridCol w:w="1551"/>
        <w:gridCol w:w="2300"/>
        <w:gridCol w:w="2532"/>
        <w:gridCol w:w="2642"/>
      </w:tblGrid>
      <w:tr w:rsidR="00F65656" w:rsidRPr="00EE21CD" w:rsidTr="00487CE2">
        <w:trPr>
          <w:trHeight w:val="394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n AB/ADHD (%)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n AB/without ADHD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OR adjusted (95% CI)</w:t>
            </w:r>
          </w:p>
        </w:tc>
      </w:tr>
      <w:tr w:rsidR="00F65656" w:rsidRPr="00EE21CD" w:rsidTr="00487CE2">
        <w:trPr>
          <w:trHeight w:val="219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119/227 (52.4%)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3,391/7,611 (44.6%)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1.49 (1.13-1.96)**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#</w:t>
            </w:r>
          </w:p>
        </w:tc>
      </w:tr>
      <w:tr w:rsidR="00F65656" w:rsidRPr="00EE21CD" w:rsidTr="00487CE2">
        <w:trPr>
          <w:trHeight w:val="118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47/89 (52.8%)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46/89 (51.7%)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1.14 (0.42-3.07)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55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30/56 (53.6%)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27/56 (48.2%)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1.64 (0.48-5.57)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55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17/33 (51.5%)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16/3 (8.5%)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0.37 (0.04-3.76)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 # adjusted for: </w:t>
      </w:r>
      <w:r w:rsidR="00911718" w:rsidRPr="00172849">
        <w:rPr>
          <w:rFonts w:ascii="Times New Roman" w:hAnsi="Times New Roman" w:cs="Times New Roman"/>
          <w:sz w:val="16"/>
          <w:szCs w:val="16"/>
          <w:lang w:val="en-US"/>
        </w:rPr>
        <w:t>: gender, delivery mode, educational attainment, birth weight, asthma</w:t>
      </w:r>
      <w:r w:rsidR="00911718"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§ adjusted for: birth weight. </w:t>
      </w: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br w:type="page"/>
      </w: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lastRenderedPageBreak/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4. Risk of high cut off ASD due to early-life antibiotic use in CATSS</w:t>
      </w:r>
    </w:p>
    <w:p w:rsidR="00F65656" w:rsidRPr="00EE21CD" w:rsidRDefault="00F65656" w:rsidP="00F65656">
      <w:pPr>
        <w:keepNext/>
        <w:spacing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7"/>
        <w:gridCol w:w="1551"/>
        <w:gridCol w:w="2300"/>
        <w:gridCol w:w="2532"/>
        <w:gridCol w:w="2642"/>
      </w:tblGrid>
      <w:tr w:rsidR="00F65656" w:rsidRPr="00EE21CD" w:rsidTr="00487CE2">
        <w:trPr>
          <w:trHeight w:val="459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n AB/ASD (%)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n AB/without ASD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</w:rPr>
              <w:t>OR adjusted (95% CI)</w:t>
            </w:r>
          </w:p>
        </w:tc>
      </w:tr>
      <w:tr w:rsidR="00F65656" w:rsidRPr="00EE21CD" w:rsidTr="00487CE2">
        <w:trPr>
          <w:trHeight w:val="255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48/111 (43.2%)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3,498/7,782 (44.9%)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1.33 (0.82-2.17)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#</w:t>
            </w:r>
          </w:p>
        </w:tc>
      </w:tr>
      <w:tr w:rsidR="00F65656" w:rsidRPr="00EE21CD" w:rsidTr="00487CE2">
        <w:trPr>
          <w:trHeight w:val="138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11/20 (55.0%)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8/20 (49.0%)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81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9/16 (56.3%)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6/16 (37.5%)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1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2/4 (50.0%)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2/4 (50.0%)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bCs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§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 # adjusted for: </w:t>
      </w:r>
      <w:r w:rsidR="00DC5267" w:rsidRPr="00172849">
        <w:rPr>
          <w:rFonts w:ascii="Times New Roman" w:hAnsi="Times New Roman" w:cs="Times New Roman"/>
          <w:sz w:val="16"/>
          <w:szCs w:val="16"/>
          <w:lang w:val="en-US"/>
        </w:rPr>
        <w:t>: gender, delivery mode, educational attainment, birth weight, asthma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, § adjusted for: birth weight, asthma. </w:t>
      </w:r>
    </w:p>
    <w:p w:rsidR="00F65656" w:rsidRPr="00EE21CD" w:rsidRDefault="00F65656" w:rsidP="00F65656">
      <w:pPr>
        <w:rPr>
          <w:rFonts w:ascii="Times New Roman" w:hAnsi="Times New Roman" w:cs="Times New Roman"/>
          <w:b/>
          <w:lang w:val="en-US"/>
        </w:rPr>
      </w:pPr>
    </w:p>
    <w:p w:rsidR="00F65656" w:rsidRPr="00EE21CD" w:rsidRDefault="00F65656" w:rsidP="00F65656">
      <w:pPr>
        <w:pStyle w:val="xmsonormal"/>
        <w:keepNext/>
        <w:spacing w:after="120"/>
        <w:rPr>
          <w:rFonts w:ascii="Times New Roman" w:hAnsi="Times New Roman"/>
          <w:lang w:val="en-US"/>
        </w:rPr>
      </w:pPr>
      <w:r w:rsidRPr="00EE21CD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>Table S</w:t>
      </w:r>
      <w:r w:rsidRPr="00EE21CD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>5. Risk of ADHD due to early-life antibiotic use in NTR</w:t>
      </w:r>
      <w:r w:rsidRPr="00EE21CD">
        <w:rPr>
          <w:rFonts w:ascii="Times New Roman" w:hAnsi="Times New Roman"/>
          <w:b/>
          <w:bCs/>
          <w:sz w:val="18"/>
          <w:szCs w:val="18"/>
          <w:lang w:val="en-US"/>
        </w:rPr>
        <w:t> </w:t>
      </w:r>
      <w:r w:rsidRPr="00EE21CD">
        <w:rPr>
          <w:rFonts w:ascii="Times New Roman" w:hAnsi="Times New Roman"/>
          <w:b/>
          <w:bCs/>
          <w:color w:val="7F7F7F" w:themeColor="text1" w:themeTint="80"/>
          <w:sz w:val="18"/>
          <w:szCs w:val="18"/>
          <w:lang w:val="en-US"/>
        </w:rPr>
        <w:t>with a more strict definition of controls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551"/>
        <w:gridCol w:w="2300"/>
        <w:gridCol w:w="2532"/>
        <w:gridCol w:w="2642"/>
      </w:tblGrid>
      <w:tr w:rsidR="00F65656" w:rsidRPr="00EE21CD" w:rsidTr="00487CE2">
        <w:trPr>
          <w:trHeight w:val="394"/>
        </w:trPr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 AB/ADHD (%)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 AB/without ADHD (%)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19"/>
        </w:trPr>
        <w:tc>
          <w:tcPr>
            <w:tcW w:w="470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NTR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154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1,103/2,981 (37.0%)</w:t>
            </w:r>
          </w:p>
        </w:tc>
        <w:tc>
          <w:tcPr>
            <w:tcW w:w="127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5,055/14,752</w:t>
            </w:r>
          </w:p>
        </w:tc>
        <w:tc>
          <w:tcPr>
            <w:tcW w:w="132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1.09 (1.01-1.17)*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#</w:t>
            </w:r>
          </w:p>
        </w:tc>
      </w:tr>
      <w:tr w:rsidR="00F65656" w:rsidRPr="00EE21CD" w:rsidTr="00487CE2">
        <w:trPr>
          <w:trHeight w:val="118"/>
        </w:trPr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MZ and same sex DZ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243/635 (38.3%)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257/635 (40.5%)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0.69 (0.47-1.03)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§</w:t>
            </w:r>
          </w:p>
        </w:tc>
      </w:tr>
      <w:tr w:rsidR="00F65656" w:rsidRPr="00EE21CD" w:rsidTr="00487CE2">
        <w:trPr>
          <w:trHeight w:val="155"/>
        </w:trPr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Same sex DZ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189/493 (38.3%)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202/493 (41.0%)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0.62 (0.40-0.96)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§</w:t>
            </w:r>
          </w:p>
        </w:tc>
      </w:tr>
      <w:tr w:rsidR="00F65656" w:rsidRPr="00EE21CD" w:rsidTr="00487CE2">
        <w:trPr>
          <w:trHeight w:val="155"/>
        </w:trPr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54/141 (38.3%)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55/141 (39.0%)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1.03 (0.40-2.66)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§</w:t>
            </w:r>
          </w:p>
        </w:tc>
      </w:tr>
    </w:tbl>
    <w:p w:rsidR="00F65656" w:rsidRPr="00EE21CD" w:rsidRDefault="00F65656" w:rsidP="00F65656">
      <w:pPr>
        <w:pStyle w:val="xmsonormal"/>
        <w:rPr>
          <w:rFonts w:ascii="Times New Roman" w:hAnsi="Times New Roman"/>
          <w:lang w:val="en-US"/>
        </w:rPr>
      </w:pPr>
      <w:r w:rsidRPr="00EE21CD">
        <w:rPr>
          <w:rFonts w:ascii="Times New Roman" w:hAnsi="Times New Roman"/>
          <w:color w:val="000000"/>
          <w:sz w:val="16"/>
          <w:szCs w:val="16"/>
          <w:lang w:val="en-GB"/>
        </w:rPr>
        <w:t xml:space="preserve">AB: users of any antibiotics, </w:t>
      </w:r>
      <w:r w:rsidRPr="00EE21CD">
        <w:rPr>
          <w:rFonts w:ascii="Times New Roman" w:hAnsi="Times New Roman"/>
          <w:color w:val="000000"/>
          <w:sz w:val="16"/>
          <w:szCs w:val="16"/>
          <w:lang w:val="en-US"/>
        </w:rPr>
        <w:t xml:space="preserve">MZ: monozygotic twin pair level, DZ: dizygotic twin pair level, OR: odds ratio, CI: confidence interval, * p &lt; 0.05, ** p &lt; 0.01, *** p &lt; 0.001,  # adjusted for: </w:t>
      </w:r>
      <w:r w:rsidR="00DC5267" w:rsidRPr="00172849">
        <w:rPr>
          <w:rFonts w:ascii="Times New Roman" w:hAnsi="Times New Roman"/>
          <w:sz w:val="16"/>
          <w:szCs w:val="16"/>
          <w:lang w:val="en-US"/>
        </w:rPr>
        <w:t>: gender, delivery mode, educational attainment, birth weight, asthma</w:t>
      </w:r>
      <w:r w:rsidR="00DC5267" w:rsidRPr="00EE21C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EE21CD">
        <w:rPr>
          <w:rFonts w:ascii="Times New Roman" w:hAnsi="Times New Roman"/>
          <w:sz w:val="16"/>
          <w:szCs w:val="16"/>
          <w:lang w:val="en-US"/>
        </w:rPr>
        <w:t xml:space="preserve">§ adjusted for: birth weight, asthma. </w:t>
      </w:r>
    </w:p>
    <w:p w:rsidR="00F65656" w:rsidRPr="00EE21CD" w:rsidRDefault="00F65656" w:rsidP="00F65656">
      <w:pPr>
        <w:pStyle w:val="xmsonormal"/>
        <w:keepNext/>
        <w:spacing w:after="120"/>
        <w:rPr>
          <w:rFonts w:ascii="Times New Roman" w:hAnsi="Times New Roman"/>
          <w:lang w:val="en-US"/>
        </w:rPr>
      </w:pPr>
      <w:r w:rsidRPr="00EE21CD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> </w:t>
      </w:r>
    </w:p>
    <w:p w:rsidR="00F65656" w:rsidRPr="00EE21CD" w:rsidRDefault="00F65656" w:rsidP="00F65656">
      <w:pPr>
        <w:pStyle w:val="xmsonormal"/>
        <w:keepNext/>
        <w:spacing w:after="120"/>
        <w:rPr>
          <w:rFonts w:ascii="Times New Roman" w:hAnsi="Times New Roman"/>
          <w:lang w:val="en-US"/>
        </w:rPr>
      </w:pPr>
      <w:r w:rsidRPr="00EE21CD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>Table S</w:t>
      </w:r>
      <w:r w:rsidRPr="00EE21CD">
        <w:rPr>
          <w:rFonts w:ascii="Times New Roman" w:hAnsi="Times New Roman"/>
          <w:b/>
          <w:bCs/>
          <w:color w:val="808080"/>
          <w:sz w:val="18"/>
          <w:szCs w:val="18"/>
          <w:lang w:val="en-US"/>
        </w:rPr>
        <w:t xml:space="preserve">6. Risk of ASD due to early-life antibiotic use in NTR </w:t>
      </w:r>
      <w:r w:rsidRPr="00EE21CD">
        <w:rPr>
          <w:rFonts w:ascii="Times New Roman" w:hAnsi="Times New Roman"/>
          <w:b/>
          <w:bCs/>
          <w:color w:val="7F7F7F" w:themeColor="text1" w:themeTint="80"/>
          <w:sz w:val="18"/>
          <w:szCs w:val="18"/>
          <w:lang w:val="en-US"/>
        </w:rPr>
        <w:t>with a more strict definition of controls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550"/>
        <w:gridCol w:w="2299"/>
        <w:gridCol w:w="2532"/>
        <w:gridCol w:w="2642"/>
      </w:tblGrid>
      <w:tr w:rsidR="00F65656" w:rsidRPr="00EE21CD" w:rsidTr="00487CE2">
        <w:trPr>
          <w:trHeight w:val="459"/>
        </w:trPr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 AB/ASD (%)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 AB/without ASD (%)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55"/>
        </w:trPr>
        <w:tc>
          <w:tcPr>
            <w:tcW w:w="47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>NTR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154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1,133/2,977 (38.1%)</w:t>
            </w:r>
          </w:p>
        </w:tc>
        <w:tc>
          <w:tcPr>
            <w:tcW w:w="127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5,663/16,730 (33.8%)</w:t>
            </w:r>
          </w:p>
        </w:tc>
        <w:tc>
          <w:tcPr>
            <w:tcW w:w="1326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1.16 (1.08-1.26) ***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</w:tr>
      <w:tr w:rsidR="00F65656" w:rsidRPr="00EE21CD" w:rsidTr="00487CE2">
        <w:trPr>
          <w:trHeight w:val="138"/>
        </w:trPr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MZ and same sex DZ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272/686 (39.7%)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269/686 (39.2%)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1.09 (0.74-1.60)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§</w:t>
            </w:r>
          </w:p>
        </w:tc>
      </w:tr>
      <w:tr w:rsidR="00F65656" w:rsidRPr="00EE21CD" w:rsidTr="00487CE2">
        <w:trPr>
          <w:trHeight w:val="181"/>
        </w:trPr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Same sex DZ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193/489 (39.5%)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rmal"/>
              <w:rPr>
                <w:rFonts w:ascii="Times New Roman" w:hAnsi="Times New Roman"/>
                <w:sz w:val="18"/>
                <w:szCs w:val="18"/>
              </w:rPr>
            </w:pPr>
            <w:r w:rsidRPr="00EE21CD">
              <w:rPr>
                <w:rFonts w:ascii="Times New Roman" w:hAnsi="Times New Roman"/>
                <w:sz w:val="18"/>
                <w:szCs w:val="18"/>
              </w:rPr>
              <w:t>187/489 (38.2%)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1.17 (0.76-1.81)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§</w:t>
            </w:r>
          </w:p>
        </w:tc>
      </w:tr>
      <w:tr w:rsidR="00F65656" w:rsidRPr="00EE21CD" w:rsidTr="00487CE2">
        <w:trPr>
          <w:trHeight w:val="181"/>
        </w:trPr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MZ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79/197 (40.1%)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82/197 (41.6%)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656" w:rsidRPr="00EE21CD" w:rsidRDefault="00F65656" w:rsidP="00487CE2">
            <w:pPr>
              <w:pStyle w:val="xmso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0.83 (0.36-1.96)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§</w:t>
            </w:r>
          </w:p>
        </w:tc>
      </w:tr>
    </w:tbl>
    <w:p w:rsidR="00F65656" w:rsidRPr="00EE21CD" w:rsidRDefault="00F65656" w:rsidP="00F65656">
      <w:pPr>
        <w:pStyle w:val="xmsonormal"/>
        <w:rPr>
          <w:rFonts w:ascii="Times New Roman" w:hAnsi="Times New Roman"/>
          <w:lang w:val="en-US"/>
        </w:rPr>
      </w:pPr>
      <w:r w:rsidRPr="00EE21CD">
        <w:rPr>
          <w:rFonts w:ascii="Times New Roman" w:hAnsi="Times New Roman"/>
          <w:color w:val="000000"/>
          <w:sz w:val="16"/>
          <w:szCs w:val="16"/>
          <w:lang w:val="en-GB"/>
        </w:rPr>
        <w:t xml:space="preserve">AB: users of any antibiotics, </w:t>
      </w:r>
      <w:r w:rsidRPr="00EE21CD">
        <w:rPr>
          <w:rFonts w:ascii="Times New Roman" w:hAnsi="Times New Roman"/>
          <w:color w:val="000000"/>
          <w:sz w:val="16"/>
          <w:szCs w:val="16"/>
          <w:lang w:val="en-US"/>
        </w:rPr>
        <w:t>MZ: monozygotic twin pair level, DZ: dizygotic twin pair level, OR: odds ratio, CI: confidence interval, * p &lt; 0.05, ** p &lt; 0.01, *** p &lt; 0.001,  # adjusted for</w:t>
      </w:r>
      <w:r w:rsidR="00DC5267" w:rsidRPr="00172849">
        <w:rPr>
          <w:rFonts w:ascii="Times New Roman" w:hAnsi="Times New Roman"/>
          <w:sz w:val="16"/>
          <w:szCs w:val="16"/>
          <w:lang w:val="en-US"/>
        </w:rPr>
        <w:t>: gender, delivery mode, educational attainment, birth weight, asthma</w:t>
      </w:r>
      <w:r w:rsidRPr="00EE21CD">
        <w:rPr>
          <w:rFonts w:ascii="Times New Roman" w:hAnsi="Times New Roman"/>
          <w:sz w:val="16"/>
          <w:szCs w:val="16"/>
          <w:lang w:val="en-US"/>
        </w:rPr>
        <w:t xml:space="preserve">, § adjusted for: birth weight, asthma. </w:t>
      </w:r>
    </w:p>
    <w:p w:rsidR="00F65656" w:rsidRPr="00EE21CD" w:rsidRDefault="00F65656" w:rsidP="00F65656">
      <w:pPr>
        <w:rPr>
          <w:rFonts w:ascii="Times New Roman" w:hAnsi="Times New Roman" w:cs="Times New Roman"/>
          <w:b/>
          <w:lang w:val="en-US"/>
        </w:rPr>
      </w:pP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7. Risk of ADHD and ASD due to early-life narrow spectrum antibiotic use in CATSS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1781"/>
        <w:gridCol w:w="2018"/>
        <w:gridCol w:w="2530"/>
        <w:gridCol w:w="2640"/>
      </w:tblGrid>
      <w:tr w:rsidR="00F65656" w:rsidRPr="00EE21CD" w:rsidTr="00487CE2">
        <w:trPr>
          <w:trHeight w:val="459"/>
        </w:trPr>
        <w:tc>
          <w:tcPr>
            <w:tcW w:w="498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8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AB/ADHD (%)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AB/without ADHD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57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448/1,070 (45.6%)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2,318/6,179 (35.7%)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1.02 (0.90-1.15)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</w:t>
            </w:r>
          </w:p>
        </w:tc>
      </w:tr>
      <w:tr w:rsidR="00F65656" w:rsidRPr="00EE21CD" w:rsidTr="00487CE2">
        <w:trPr>
          <w:trHeight w:val="139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178/439 (40.5%)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169/439 (38.5%)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1.13 (0.76-1.68)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115/278 (41.4%)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106/278 (38.1%)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1.11 (0.66-1.87)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63/161 (39.1%)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63/161 (39.1%)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0.99 (0.52-1.91)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AB/ASD (%)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AB/without ASD (%)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CATSS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Unmatched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147/350 (42.0%)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2,832/7,466 (37.9%)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1.16 (0.86-1.58)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×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and same sex DZ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39/81 (48.1%)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39/81 (48.1%)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0.94 (0.39-2.23)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27/49 (55.1%)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22/49 (44.9%)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1.26 (0.43-3.66)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  <w:tr w:rsidR="00F65656" w:rsidRPr="00EE21CD" w:rsidTr="00487CE2">
        <w:trPr>
          <w:trHeight w:val="182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12/32 (37.5%)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14/32 (43.8%)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0.47 (0.08-2.80)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broad spectrum antibiotics: doxycycline,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lymecline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tetracyclines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ampicillin,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pivampicillin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amoxicillin,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pivmecillinam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mecillinam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, amoxicillin-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clavulanic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piperacillin-tazobactam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cefuroxime,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cefataxime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ceftazidime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ceftriaxone,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meropenem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ertapenem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sulfamethoxazole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-trimethoprim, tobramycin, gentamycin,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ofloxacin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ciprofloxacin,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colistinmethatnatrium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small spectrum antibiotics: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vancomycin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(oral),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benzylpenicillin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phenoxymethylpenicillin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dicloxacillin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flucloxacillin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cephalexine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aztreonam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trimethoprim,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sulfamethizole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erythromycin,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roxithromycin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clarithromycin, azithromycin, clindamycin,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vancomycin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teicoplanin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metronidazole (intravenous),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fusidic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metronidazole,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nitrofurantoin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linezolide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daptomycin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rifampicin,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rifabutin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metronidazole,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§ adjusted for birth weight, asthma, broad spectrum antibiotics £ adjusted</w:t>
      </w:r>
      <w:r w:rsidR="008D6C8D"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for: gender, delivery mode, educational attainment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, birth weight, asthma, broad spectrum antibiotics, ≠ adjusted for: broad spectrum antibiotics, × adjusted for: </w:t>
      </w:r>
      <w:r w:rsidR="00DC5267" w:rsidRPr="00172849">
        <w:rPr>
          <w:rFonts w:ascii="Times New Roman" w:hAnsi="Times New Roman" w:cs="Times New Roman"/>
          <w:sz w:val="16"/>
          <w:szCs w:val="16"/>
          <w:lang w:val="en-US"/>
        </w:rPr>
        <w:t>: gender, delivery mode, educational attainment, birth weight, asthma</w:t>
      </w:r>
      <w:r w:rsidR="00DC5267">
        <w:rPr>
          <w:rFonts w:ascii="Times New Roman" w:hAnsi="Times New Roman" w:cs="Times New Roman"/>
          <w:sz w:val="16"/>
          <w:szCs w:val="16"/>
          <w:lang w:val="en-US"/>
        </w:rPr>
        <w:t>, broad spectrum antibiotics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, ¥ adjusted for: birth weight, broad spectrum antibiotics. </w:t>
      </w:r>
    </w:p>
    <w:p w:rsidR="00F65656" w:rsidRPr="00EE21CD" w:rsidRDefault="00F65656" w:rsidP="00F65656">
      <w:pPr>
        <w:rPr>
          <w:rFonts w:ascii="Times New Roman" w:hAnsi="Times New Roman" w:cs="Times New Roman"/>
          <w:b/>
          <w:lang w:val="en-US"/>
        </w:rPr>
      </w:pP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lastRenderedPageBreak/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8. Risk of ADHD and ASD due to early-life broad spectrum antibiotic use in CATSS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1780"/>
        <w:gridCol w:w="2019"/>
        <w:gridCol w:w="2530"/>
        <w:gridCol w:w="2642"/>
      </w:tblGrid>
      <w:tr w:rsidR="00F65656" w:rsidRPr="00EE21CD" w:rsidTr="00487CE2">
        <w:trPr>
          <w:trHeight w:val="434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AB/ADHD (%)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AB/without ADHD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4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256/1,070 (23.9%)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1,145/6,179 (18.5%)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1.19 (1.02-1.39)*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</w:t>
            </w:r>
          </w:p>
        </w:tc>
      </w:tr>
      <w:tr w:rsidR="00F65656" w:rsidRPr="00EE21CD" w:rsidTr="00487CE2">
        <w:trPr>
          <w:trHeight w:val="131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93/439 (21.2%)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86/439 (19.6%)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1.35 (0.77-2.36)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63/278 (22.7%)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54/278 (19.4%)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1.77 (0.91-3.44)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30/161 (18.6%)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32/161 (19.9%)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0.64 (0.20-2.05)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AB/ASD (%)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AB/without ASD (%)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CATSS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Unmatched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75/1,505 (5.0%)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 xml:space="preserve">275/6,311 (4.4%) 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1.13 (0.79-1.60)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×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and same sex DZ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22/81 (27.2%)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22/81 (27.2%)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0.92 (0.25-3.39)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15/49 (30.6%)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14/49 (28.6%)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0.93 (0.22-4.02)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  <w:tr w:rsidR="00F65656" w:rsidRPr="00EE21CD" w:rsidTr="00487CE2">
        <w:trPr>
          <w:trHeight w:val="172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7/32 (21.9%)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8/32 (25.0%)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broad spectrum antibiotics: doxycycline,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lymecline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tetracyclines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ampicillin,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pivampicillin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amoxicillin,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pivmecillinam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mecillinam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, amoxicillin-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clavulanic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piperacillin-tazobactam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cefuroxime,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cefataxime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ceftazidime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ceftriaxone,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meropenem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ertapenem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sulfamethoxazole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-trimethoprim, tobramycin, gentamycin,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ofloxacin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ciprofloxacin,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colistinmethatnatrium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small spectrum antibiotics: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vancomycin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(oral),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benzylpenicillin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phenoxymethylpenicillin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dicloxacillin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flucloxacillin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cephalexine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aztreonam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trimethoprim,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sulfamethizole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erythromycin,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roxithromycin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clarithromycin, azithromycin, clindamycin,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vancomycin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teicoplanin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metronidazole (intravenous),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fusidic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metronidazole,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nitrofurantoin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linezolide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daptomycin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rifampicin,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rifabutin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metronidazole,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§ adjusted for birth weight, asthma, small spectrum antibiotics £ adjusted</w:t>
      </w:r>
      <w:r w:rsidR="008D6C8D"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for: gender, delivery mode, educational attainment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, birth weight, asthma, small spectrum antibiotics, ≠ adjusted for: small spectrum antibiotics, × adjusted for: gender, delivery mode, small spectrum antibiotics, birth weight</w:t>
      </w:r>
      <w:r w:rsidR="005C5886">
        <w:rPr>
          <w:rFonts w:ascii="Times New Roman" w:hAnsi="Times New Roman" w:cs="Times New Roman"/>
          <w:sz w:val="16"/>
          <w:szCs w:val="16"/>
          <w:lang w:val="en-US"/>
        </w:rPr>
        <w:t>, educational attainment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, ¥ adjusted for: birth weight, small spectrum antibiotics. </w:t>
      </w:r>
    </w:p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9. Risk of ADHD and ASD due to anti-anaerobic antibiotic use in CATSS</w:t>
      </w: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1780"/>
        <w:gridCol w:w="2019"/>
        <w:gridCol w:w="2530"/>
        <w:gridCol w:w="2642"/>
      </w:tblGrid>
      <w:tr w:rsidR="00F65656" w:rsidRPr="00EE21CD" w:rsidTr="00487CE2">
        <w:trPr>
          <w:trHeight w:val="463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8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AB/ADHD (%)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AB/without ADHD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59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98/1,070 (9.2%)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473/6,179 (7.6%)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1.04 (0.83-1.29)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</w:t>
            </w:r>
          </w:p>
        </w:tc>
      </w:tr>
      <w:tr w:rsidR="00F65656" w:rsidRPr="00EE21CD" w:rsidTr="00487CE2">
        <w:trPr>
          <w:trHeight w:val="140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31/439 (7.1%)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28/439 (6.4%)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1.30 (0.55-3.09)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22/278 (7.9%)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21/278 (7.6%)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1.14 (0.45-2.88)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9/161 (5.6%)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7/161 (4.3%)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AB/ASD (%)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AB/without ASD (%)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CATSS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Unmatched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29/350 (8.3%)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574/7,466 (97.7%)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1.08 (0.67-1.72)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×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and same sex DZ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11/81 (13.6%)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7/81 (8.6%)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4/49 (8.2%)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7/49 (14.3%)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  <w:tr w:rsidR="00F65656" w:rsidRPr="00EE21CD" w:rsidTr="00487CE2">
        <w:trPr>
          <w:trHeight w:val="183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3/32 (9.4%)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4/32 (12.5%)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Insufficient power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anti-anaerobic antibiotics: 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ampicillin and enzyme inhibitors, amoxicillin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ticarcillin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pipracillin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cefoxitin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cefmetazole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flomoxef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meropenem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ertapenem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imipenem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clindamycin,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metronidazole, anti-aerobic antibiotics: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tetracyclines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beta-lactamase sensitive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with extended spectrum, beta-lactamase resistant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cephalosporins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cefoxitin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cefmetazole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flomoxef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monobactams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sulfonamides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trimethoprim, macrolides, aminoglycosides, quinolones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glycopeptides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polymyxins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nitrofuran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derivates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fusidic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fosfomycin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linezolid,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spectinomycin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daptomycin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§ adjusted for birth weight, asthma, anti-aerobic antibiotics £ adjusted</w:t>
      </w:r>
      <w:r w:rsidR="008D6C8D"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for: gender, delivery mode, educational attainment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, birth weight, asthma, anti-aerobic antibiotics, ≠ adjusted for: anti-aerobic antibiotics, × adjusted for: gender, delivery mode, anti-aerobic antibiotics, birth weight,</w:t>
      </w:r>
      <w:r w:rsidR="00F41789">
        <w:rPr>
          <w:rFonts w:ascii="Times New Roman" w:hAnsi="Times New Roman" w:cs="Times New Roman"/>
          <w:sz w:val="16"/>
          <w:szCs w:val="16"/>
          <w:lang w:val="en-US"/>
        </w:rPr>
        <w:t xml:space="preserve"> educational attainment, asthma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¥ adjusted for: birth weight, anti-aerobic antibiotics. </w:t>
      </w:r>
    </w:p>
    <w:p w:rsidR="00F65656" w:rsidRPr="00EE21CD" w:rsidRDefault="00F65656" w:rsidP="00F65656">
      <w:pPr>
        <w:keepNext/>
        <w:spacing w:after="120" w:line="240" w:lineRule="auto"/>
        <w:contextualSpacing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 xml:space="preserve">Supplementary </w:t>
      </w:r>
      <w:r w:rsidR="00193E6E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Table S</w:t>
      </w:r>
      <w:r w:rsidRPr="00EE21C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  <w:t>10. Risk of ADHD and ASD due to early-life anti-aerobic antibiotic use in CATSS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1781"/>
        <w:gridCol w:w="2018"/>
        <w:gridCol w:w="2530"/>
        <w:gridCol w:w="2642"/>
      </w:tblGrid>
      <w:tr w:rsidR="00F65656" w:rsidRPr="00EE21CD" w:rsidTr="00487CE2">
        <w:trPr>
          <w:trHeight w:val="464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8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AB/ADHD (%)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AB/without ADHD (%)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FFFFFF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259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CATSS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Unmatched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515/1,070 (48.1%)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2,555/6,179 (41.3%)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1.29 (1.10-1.51)**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£</w:t>
            </w:r>
          </w:p>
        </w:tc>
      </w:tr>
      <w:tr w:rsidR="00F65656" w:rsidRPr="00EE21CD" w:rsidTr="00487CE2">
        <w:trPr>
          <w:trHeight w:val="140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 and 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199/439 (45.3%)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185/439 (42.1%)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1.29 (0.85-1.95)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129/278 (46.4%)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113/278 (40.6%)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1.52 (0.90-2.57)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MZ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72/161 (44.7%)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70/161 (43.5%)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0.81 (0.39-1.67)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AB/ASD (%)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n AB/without ASD (%)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auto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OR adjusted (95% CI)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CATSS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Unmatched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163/350 (46.6%)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3,141/7,466 (42.1%)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1.29 (0.96-1.73)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×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and same sex DZ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43/81 (53.1%)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41/81 (50.6%)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1.53 (0.52-4.52)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>Same sex DZ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29/49 (59.2%)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26/49 (53.1%)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2.85 (0.67-12.06)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  <w:tr w:rsidR="00F65656" w:rsidRPr="00EE21CD" w:rsidTr="00487CE2">
        <w:trPr>
          <w:trHeight w:val="184"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MZ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14/32 (4.4%)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15/32 (46.9%)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</w:tcPr>
          <w:p w:rsidR="00F65656" w:rsidRPr="00EE21CD" w:rsidRDefault="00F65656" w:rsidP="00487C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E21CD">
              <w:rPr>
                <w:rFonts w:ascii="Times New Roman" w:hAnsi="Times New Roman" w:cs="Times New Roman"/>
                <w:sz w:val="18"/>
                <w:szCs w:val="18"/>
              </w:rPr>
              <w:t>0.29 (0.02-4.50)</w:t>
            </w:r>
            <w:r w:rsidRPr="00EE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¥</w:t>
            </w:r>
          </w:p>
        </w:tc>
      </w:tr>
    </w:tbl>
    <w:p w:rsidR="00F65656" w:rsidRPr="00EE21CD" w:rsidRDefault="00F65656" w:rsidP="00F65656">
      <w:pPr>
        <w:spacing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AB: users of any antibiotics, anti-anaerobic antibiotics: 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ampicillin and enzyme inhibitors, amoxicillin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ticarcillin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pipracillin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cefoxitin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cefmetazole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flomoxef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meropenem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ertapenem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imipenem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enzyme inhibitors, clindamycin,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metronidazole, anti-aerobic antibiotics: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tetracyclines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tigecycline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beta-lactamase sensitive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with extended spectrum, beta-lactamase resistant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penicillins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cephalosporins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cefoxitin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cefmetazole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flomoxef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monobactams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sulfonamides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and trimethoprim, macrolides, aminoglycosides, quinolones other than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moxifloxacin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glycopeptides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polymyxins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nitrofuran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derivates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fusidic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 acid,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fosfomycin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linezolid,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spectinomycin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proofErr w:type="spellStart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>daptomycin</w:t>
      </w:r>
      <w:proofErr w:type="spellEnd"/>
      <w:r w:rsidRPr="00EE21CD">
        <w:rPr>
          <w:rFonts w:ascii="Times New Roman" w:hAnsi="Times New Roman" w:cs="Times New Roman"/>
          <w:color w:val="000000"/>
          <w:sz w:val="16"/>
          <w:szCs w:val="16"/>
          <w:lang w:eastAsia="nl-NL"/>
        </w:rPr>
        <w:t xml:space="preserve">, </w:t>
      </w:r>
      <w:r w:rsidRPr="00EE21CD">
        <w:rPr>
          <w:rFonts w:ascii="Times New Roman" w:hAnsi="Times New Roman" w:cs="Times New Roman"/>
          <w:color w:val="000000"/>
          <w:sz w:val="16"/>
          <w:szCs w:val="16"/>
          <w:lang w:val="en-US" w:eastAsia="nl-NL"/>
        </w:rPr>
        <w:t xml:space="preserve">MZ: monozygotic twin pair level, DZ: dizygotic twin pair level, OR: odds ratio, CI: confidence interval, * p &lt; 0.05, ** p &lt; 0.01, *** p &lt; 0.001, 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>§ adjusted for birth weight, asthma, anti-anaerobic antibiotics £ adjusted</w:t>
      </w:r>
      <w:r w:rsidR="008D6C8D"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 for: gender, delivery mode, educational attainment</w:t>
      </w:r>
      <w:r w:rsidRPr="00EE21CD">
        <w:rPr>
          <w:rFonts w:ascii="Times New Roman" w:hAnsi="Times New Roman" w:cs="Times New Roman"/>
          <w:sz w:val="16"/>
          <w:szCs w:val="16"/>
          <w:lang w:val="en-US"/>
        </w:rPr>
        <w:t xml:space="preserve">, birth weight, asthma, anti-anaerobic antibiotics, ≠ adjusted for: anti-anaerobic antibiotics, × adjusted for: gender, delivery mode, anti-anaerobic antibiotics, birth weight, ¥ adjusted for: birth weight, anti-anaerobic antibiotics. </w:t>
      </w: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  <w:lang w:val="en-US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b/>
          <w:lang w:val="en-US"/>
        </w:rPr>
      </w:pPr>
      <w:r w:rsidRPr="00EE21CD">
        <w:rPr>
          <w:rFonts w:ascii="Times New Roman" w:hAnsi="Times New Roman" w:cs="Times New Roman"/>
          <w:b/>
          <w:lang w:val="en-US"/>
        </w:rPr>
        <w:br w:type="page"/>
      </w:r>
    </w:p>
    <w:p w:rsidR="00F65656" w:rsidRPr="00EE21CD" w:rsidRDefault="00EE21CD" w:rsidP="00EE21CD">
      <w:pPr>
        <w:pStyle w:val="Caption"/>
        <w:keepNext/>
        <w:spacing w:after="0"/>
        <w:contextualSpacing/>
        <w:rPr>
          <w:rFonts w:ascii="Times New Roman" w:hAnsi="Times New Roman"/>
          <w:color w:val="A6A6A6" w:themeColor="background1" w:themeShade="A6"/>
          <w:sz w:val="22"/>
        </w:rPr>
      </w:pPr>
      <w:r w:rsidRPr="00EE21CD">
        <w:rPr>
          <w:rFonts w:ascii="Times New Roman" w:hAnsi="Times New Roman"/>
          <w:color w:val="A6A6A6" w:themeColor="background1" w:themeShade="A6"/>
          <w:sz w:val="22"/>
        </w:rPr>
        <w:lastRenderedPageBreak/>
        <w:t xml:space="preserve">Supplementary Table </w:t>
      </w:r>
      <w:r w:rsidR="00193E6E">
        <w:rPr>
          <w:rFonts w:ascii="Times New Roman" w:hAnsi="Times New Roman"/>
          <w:color w:val="A6A6A6" w:themeColor="background1" w:themeShade="A6"/>
          <w:sz w:val="22"/>
        </w:rPr>
        <w:t>S</w:t>
      </w:r>
      <w:r w:rsidRPr="00EE21CD">
        <w:rPr>
          <w:rFonts w:ascii="Times New Roman" w:hAnsi="Times New Roman"/>
          <w:color w:val="A6A6A6" w:themeColor="background1" w:themeShade="A6"/>
          <w:sz w:val="22"/>
        </w:rPr>
        <w:t>11. Summary characteristics of both twin cohorts and subgroups with ASD and ADHD with high cutoff numbers, and healthy controls in CATSS.</w:t>
      </w:r>
    </w:p>
    <w:tbl>
      <w:tblPr>
        <w:tblpPr w:leftFromText="141" w:rightFromText="141" w:vertAnchor="text" w:horzAnchor="margin" w:tblpY="659"/>
        <w:tblW w:w="3636" w:type="pct"/>
        <w:tblLook w:val="04A0" w:firstRow="1" w:lastRow="0" w:firstColumn="1" w:lastColumn="0" w:noHBand="0" w:noVBand="1"/>
      </w:tblPr>
      <w:tblGrid>
        <w:gridCol w:w="2060"/>
        <w:gridCol w:w="1494"/>
        <w:gridCol w:w="1227"/>
        <w:gridCol w:w="1014"/>
        <w:gridCol w:w="1449"/>
      </w:tblGrid>
      <w:tr w:rsidR="00F65656" w:rsidRPr="00EE21CD" w:rsidTr="006A49A3">
        <w:trPr>
          <w:trHeight w:val="640"/>
        </w:trPr>
        <w:tc>
          <w:tcPr>
            <w:tcW w:w="1422" w:type="pct"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1" w:type="pct"/>
            <w:tcBorders>
              <w:bottom w:val="single" w:sz="4" w:space="0" w:color="666666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ADHD</w:t>
            </w: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proofErr w:type="spellStart"/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cutoff</w:t>
            </w:r>
            <w:proofErr w:type="spellEnd"/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(n=227)</w:t>
            </w:r>
          </w:p>
        </w:tc>
        <w:tc>
          <w:tcPr>
            <w:tcW w:w="847" w:type="pct"/>
            <w:tcBorders>
              <w:bottom w:val="single" w:sz="4" w:space="0" w:color="666666"/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ADHD</w:t>
            </w: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(n=7,719)</w:t>
            </w:r>
          </w:p>
        </w:tc>
        <w:tc>
          <w:tcPr>
            <w:tcW w:w="700" w:type="pct"/>
            <w:tcBorders>
              <w:bottom w:val="single" w:sz="4" w:space="0" w:color="666666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ASD</w:t>
            </w: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</w:t>
            </w:r>
            <w:proofErr w:type="spellStart"/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cutoff</w:t>
            </w:r>
            <w:proofErr w:type="spellEnd"/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(n=111)</w:t>
            </w:r>
          </w:p>
        </w:tc>
        <w:tc>
          <w:tcPr>
            <w:tcW w:w="1000" w:type="pct"/>
            <w:tcBorders>
              <w:bottom w:val="single" w:sz="4" w:space="0" w:color="666666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ASD</w:t>
            </w: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(n=7,835)</w:t>
            </w:r>
          </w:p>
        </w:tc>
      </w:tr>
      <w:tr w:rsidR="00F65656" w:rsidRPr="00EE21CD" w:rsidTr="006A49A3">
        <w:trPr>
          <w:trHeight w:val="69"/>
        </w:trPr>
        <w:tc>
          <w:tcPr>
            <w:tcW w:w="1422" w:type="pct"/>
            <w:tcBorders>
              <w:top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031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207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Male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158 (69.6%)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3,820 (49.4%)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85 (76.6%)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3,893 (49.7%)</w:t>
            </w: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top w:val="single" w:sz="2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Delivery mode</w:t>
            </w:r>
          </w:p>
        </w:tc>
        <w:tc>
          <w:tcPr>
            <w:tcW w:w="1031" w:type="pct"/>
            <w:tcBorders>
              <w:top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2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11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Caesarean section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91 (51.1%)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3,174 (52.1%)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41 (56.9%)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3,224 (52.0%)</w:t>
            </w: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Gestational age</w:t>
            </w:r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10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&lt; 37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132 (58.1%)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4,151 (53.8%)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68 (61.3%)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4,215 (53.8%)</w:t>
            </w: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Birth weight (g)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2,624 (795)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2,670 (716)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2,705 (792)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2,670 (720)</w:t>
            </w: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top w:val="single" w:sz="2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Breast feeding</w:t>
            </w:r>
          </w:p>
        </w:tc>
        <w:tc>
          <w:tcPr>
            <w:tcW w:w="1031" w:type="pct"/>
            <w:tcBorders>
              <w:top w:val="single" w:sz="2" w:space="0" w:color="D9D9D9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847" w:type="pct"/>
            <w:tcBorders>
              <w:top w:val="single" w:sz="2" w:space="0" w:color="D9D9D9"/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700" w:type="pct"/>
            <w:tcBorders>
              <w:top w:val="single" w:sz="2" w:space="0" w:color="D9D9D9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single" w:sz="2" w:space="0" w:color="D9D9D9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  <w:tr w:rsidR="00F65656" w:rsidRPr="00EE21CD" w:rsidTr="006A49A3">
        <w:trPr>
          <w:trHeight w:val="121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None</w:t>
            </w:r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10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&lt; 2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30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2-6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228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3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3-6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&gt; 6 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1031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Area type during early-life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200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Rural area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81 (36.4%)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2,319 (30.1%)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39 (35.8%)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2,361 (30.2%)</w:t>
            </w:r>
          </w:p>
        </w:tc>
      </w:tr>
      <w:tr w:rsidR="00F65656" w:rsidRPr="00EE21CD" w:rsidTr="006A49A3">
        <w:trPr>
          <w:trHeight w:val="149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Older siblings</w:t>
            </w:r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135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None</w:t>
            </w:r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43 (24.2%)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1,354 (22.2%)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13 (18.1%)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1,384 (22.3%)</w:t>
            </w:r>
          </w:p>
        </w:tc>
      </w:tr>
      <w:tr w:rsidR="00F65656" w:rsidRPr="00EE21CD" w:rsidTr="006A49A3">
        <w:trPr>
          <w:trHeight w:val="417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Allergies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Cowmilk</w:t>
            </w:r>
            <w:proofErr w:type="spellEnd"/>
          </w:p>
        </w:tc>
        <w:tc>
          <w:tcPr>
            <w:tcW w:w="1031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25 (11.2%)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453 (6.0%)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16 (14.4%)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462 (6.0%)</w:t>
            </w:r>
          </w:p>
        </w:tc>
      </w:tr>
      <w:tr w:rsidR="006A49A3" w:rsidRPr="00EE21CD" w:rsidTr="006A49A3">
        <w:trPr>
          <w:trHeight w:val="149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6A49A3" w:rsidRDefault="006A49A3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Gluten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 (1.3%)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60 (0.8%)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 (1.8%)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61 (0.8%)</w:t>
            </w:r>
          </w:p>
        </w:tc>
      </w:tr>
      <w:tr w:rsidR="006A49A3" w:rsidRPr="00EE21CD" w:rsidTr="006A49A3">
        <w:trPr>
          <w:trHeight w:val="149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6A49A3" w:rsidRDefault="006A49A3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Other food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 (1.3%)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108 (1.4%)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 (2.7%)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108 (1.4%)</w:t>
            </w:r>
          </w:p>
        </w:tc>
      </w:tr>
      <w:tr w:rsidR="006A49A3" w:rsidRPr="00EE21CD" w:rsidTr="006A49A3">
        <w:trPr>
          <w:trHeight w:val="149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6A49A3" w:rsidRDefault="006A49A3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Hay fever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11 (4.8%)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439 (5.7%)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8 (7.2%)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A49A3" w:rsidRPr="00EE21CD" w:rsidRDefault="006A49A3" w:rsidP="006A49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442 (5.6%)</w:t>
            </w:r>
          </w:p>
        </w:tc>
      </w:tr>
      <w:tr w:rsidR="006A49A3" w:rsidRPr="00EE21CD" w:rsidTr="006A49A3">
        <w:trPr>
          <w:trHeight w:val="149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EE21CD" w:rsidRDefault="006A49A3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Other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6A49A3" w:rsidRPr="00EE21CD" w:rsidRDefault="006A49A3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 (2.7%)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49A3" w:rsidRPr="00EE21CD" w:rsidRDefault="006A49A3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280 (3.6%)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6A49A3" w:rsidRPr="00EE21CD" w:rsidRDefault="006A49A3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 (2.7%)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6A49A3" w:rsidRPr="00EE21CD" w:rsidRDefault="006A49A3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280 (3.6%)</w:t>
            </w:r>
          </w:p>
        </w:tc>
      </w:tr>
      <w:tr w:rsidR="00F65656" w:rsidRPr="00EE21CD" w:rsidTr="006A49A3">
        <w:trPr>
          <w:trHeight w:val="163"/>
        </w:trPr>
        <w:tc>
          <w:tcPr>
            <w:tcW w:w="1422" w:type="pct"/>
            <w:tcBorders>
              <w:top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Outside home child care</w:t>
            </w:r>
          </w:p>
        </w:tc>
        <w:tc>
          <w:tcPr>
            <w:tcW w:w="1031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847" w:type="pct"/>
            <w:tcBorders>
              <w:top w:val="single" w:sz="2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700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None</w:t>
            </w:r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1-4 h/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5-8 h/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9-16 h/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17-24 h/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&gt;24 h/</w:t>
            </w:r>
            <w:proofErr w:type="spellStart"/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031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65656" w:rsidRPr="00EE21CD" w:rsidTr="00D77037">
        <w:trPr>
          <w:trHeight w:val="438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656" w:rsidRPr="00EE21CD" w:rsidRDefault="008D6C8D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educational attainment</w:t>
            </w:r>
            <w:r w:rsidR="00F65656"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mother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≤ 9 years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bottom"/>
          </w:tcPr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11 (5.4%)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155 (2.2%)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bottom"/>
          </w:tcPr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6 (6.3%)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bottom"/>
          </w:tcPr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160 (2.3%)</w:t>
            </w:r>
          </w:p>
        </w:tc>
      </w:tr>
      <w:tr w:rsidR="00D77037" w:rsidRPr="00EE21CD" w:rsidTr="00D77037">
        <w:trPr>
          <w:trHeight w:val="232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D77037" w:rsidRDefault="00D77037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10-12 years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83 (40.7%)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1,851 (26.8%)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45 (46.9%)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1,889 (27.0%)</w:t>
            </w:r>
          </w:p>
        </w:tc>
      </w:tr>
      <w:tr w:rsidR="00D77037" w:rsidRPr="00EE21CD" w:rsidTr="00D77037">
        <w:trPr>
          <w:trHeight w:val="81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D77037" w:rsidRDefault="00D77037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&lt; 2 years tertiary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32 (15.7%)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930 (13.5%)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11 (11.5%)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D77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951 (13.6%)</w:t>
            </w:r>
          </w:p>
        </w:tc>
      </w:tr>
      <w:tr w:rsidR="00D77037" w:rsidRPr="00EE21CD" w:rsidTr="00D77037">
        <w:trPr>
          <w:trHeight w:val="178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≥ 2 years tertiary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78 (38.2%)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3,958 (57.4%)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34 (35.4%)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:rsidR="00D77037" w:rsidRPr="00EE21CD" w:rsidRDefault="00D77037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4,002 (57.2%)</w:t>
            </w:r>
          </w:p>
        </w:tc>
      </w:tr>
      <w:tr w:rsidR="00F65656" w:rsidRPr="00EE21CD" w:rsidTr="00E950FC">
        <w:trPr>
          <w:trHeight w:val="421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656" w:rsidRPr="00EE21CD" w:rsidRDefault="008D6C8D" w:rsidP="00487CE2">
            <w:pPr>
              <w:shd w:val="clear" w:color="auto" w:fill="D9D9D9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educational attainment</w:t>
            </w:r>
            <w:r w:rsidR="00F65656"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father</w:t>
            </w:r>
          </w:p>
          <w:p w:rsidR="00F65656" w:rsidRPr="00EE21CD" w:rsidRDefault="00E950FC" w:rsidP="00487CE2">
            <w:pPr>
              <w:shd w:val="clear" w:color="auto" w:fill="D9D9D9"/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≤ 9 years</w:t>
            </w:r>
          </w:p>
        </w:tc>
        <w:tc>
          <w:tcPr>
            <w:tcW w:w="1031" w:type="pct"/>
            <w:shd w:val="clear" w:color="auto" w:fill="auto"/>
            <w:vAlign w:val="bottom"/>
          </w:tcPr>
          <w:p w:rsidR="00F65656" w:rsidRPr="00EE21CD" w:rsidRDefault="00F65656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 (8.7%)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5656" w:rsidRPr="00EE21CD" w:rsidRDefault="00F65656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311 (4.9%)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F65656" w:rsidRPr="00EE21CD" w:rsidRDefault="00F65656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 (11.3%)</w:t>
            </w:r>
          </w:p>
        </w:tc>
        <w:tc>
          <w:tcPr>
            <w:tcW w:w="1000" w:type="pct"/>
            <w:shd w:val="clear" w:color="auto" w:fill="auto"/>
            <w:vAlign w:val="bottom"/>
          </w:tcPr>
          <w:p w:rsidR="00F65656" w:rsidRPr="00EE21CD" w:rsidRDefault="00F65656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316 (4.9%)</w:t>
            </w:r>
          </w:p>
        </w:tc>
      </w:tr>
      <w:tr w:rsidR="000B1FAB" w:rsidRPr="00EE21CD" w:rsidTr="006A49A3">
        <w:trPr>
          <w:trHeight w:val="223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950FC" w:rsidRDefault="00E950FC" w:rsidP="00487CE2">
            <w:pPr>
              <w:shd w:val="clear" w:color="auto" w:fill="D9D9D9"/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10-12 years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 (52.3%)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2,728 (43.0%)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B1FAB" w:rsidRPr="00EE21CD" w:rsidRDefault="00E950FC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27 (38.0%)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2,779 (43.3%)</w:t>
            </w:r>
          </w:p>
        </w:tc>
      </w:tr>
      <w:tr w:rsidR="000B1FAB" w:rsidRPr="00EE21CD" w:rsidTr="006A49A3">
        <w:trPr>
          <w:trHeight w:val="223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950FC" w:rsidRDefault="00E950FC" w:rsidP="00487CE2">
            <w:pPr>
              <w:shd w:val="clear" w:color="auto" w:fill="D9D9D9"/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&lt; 2 years tertiary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 (12.8%)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663 (10.4%)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 (8.5%)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1FAB" w:rsidRPr="00EE21CD" w:rsidRDefault="00E950FC" w:rsidP="00E950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 (10.5%)</w:t>
            </w:r>
          </w:p>
        </w:tc>
      </w:tr>
      <w:tr w:rsidR="000B1FAB" w:rsidRPr="00EE21CD" w:rsidTr="006A49A3">
        <w:trPr>
          <w:trHeight w:val="223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E21CD" w:rsidRDefault="00E950FC" w:rsidP="00487CE2">
            <w:pPr>
              <w:shd w:val="clear" w:color="auto" w:fill="D9D9D9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≥ 2 years tertiary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B1FAB" w:rsidRPr="00EE21CD" w:rsidRDefault="00E950FC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39 (26.2%)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FAB" w:rsidRPr="00EE21CD" w:rsidRDefault="00E950FC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2,643 (41.7%)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B1FAB" w:rsidRPr="00EE21CD" w:rsidRDefault="00E950FC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30 (42.3%)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1FAB" w:rsidRPr="00EE21CD" w:rsidRDefault="00E950FC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2,652 (41.2%)</w:t>
            </w:r>
          </w:p>
        </w:tc>
      </w:tr>
      <w:tr w:rsidR="00F65656" w:rsidRPr="00EE21CD" w:rsidTr="006A49A3">
        <w:trPr>
          <w:trHeight w:val="968"/>
        </w:trPr>
        <w:tc>
          <w:tcPr>
            <w:tcW w:w="142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Smoking mother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No smoking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cigars/pipe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&lt; 10 cigarettes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&gt; 10 cigarettes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Do not know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Always outside</w:t>
            </w:r>
          </w:p>
        </w:tc>
        <w:tc>
          <w:tcPr>
            <w:tcW w:w="1031" w:type="pct"/>
            <w:shd w:val="clear" w:color="auto" w:fill="D9D9D9" w:themeFill="background1" w:themeFillShade="D9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  <w:tr w:rsidR="00F65656" w:rsidRPr="00EE21CD" w:rsidTr="006A49A3">
        <w:trPr>
          <w:trHeight w:val="72"/>
        </w:trPr>
        <w:tc>
          <w:tcPr>
            <w:tcW w:w="1422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Smoking father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No smoking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cigars/pipe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&lt; 10 cigarettes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&gt; 10 cigarettes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Do not know</w:t>
            </w:r>
          </w:p>
          <w:p w:rsidR="00F65656" w:rsidRPr="00EE21CD" w:rsidRDefault="00F65656" w:rsidP="00487CE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Always outside</w:t>
            </w:r>
          </w:p>
        </w:tc>
        <w:tc>
          <w:tcPr>
            <w:tcW w:w="1031" w:type="pct"/>
            <w:tcBorders>
              <w:bottom w:val="single" w:sz="2" w:space="0" w:color="D9D9D9"/>
            </w:tcBorders>
            <w:shd w:val="clear" w:color="auto" w:fill="FFFFFF" w:themeFill="background1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847" w:type="pct"/>
            <w:tcBorders>
              <w:bottom w:val="single" w:sz="2" w:space="0" w:color="D9D9D9"/>
              <w:right w:val="single" w:sz="4" w:space="0" w:color="auto"/>
            </w:tcBorders>
            <w:shd w:val="clear" w:color="auto" w:fill="FFFFFF" w:themeFill="background1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700" w:type="pct"/>
            <w:tcBorders>
              <w:bottom w:val="single" w:sz="2" w:space="0" w:color="D9D9D9"/>
            </w:tcBorders>
            <w:shd w:val="clear" w:color="auto" w:fill="FFFFFF" w:themeFill="background1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bottom w:val="single" w:sz="2" w:space="0" w:color="D9D9D9"/>
            </w:tcBorders>
            <w:shd w:val="clear" w:color="auto" w:fill="FFFFFF" w:themeFill="background1"/>
          </w:tcPr>
          <w:p w:rsidR="00F65656" w:rsidRPr="00EE21CD" w:rsidRDefault="00F65656" w:rsidP="0048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21C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</w:p>
        </w:tc>
      </w:tr>
    </w:tbl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D77037" w:rsidRDefault="00D77037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D77037" w:rsidRPr="00EE21CD" w:rsidRDefault="00D77037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16"/>
          <w:lang w:val="en-US" w:eastAsia="nl-NL"/>
        </w:rPr>
      </w:pPr>
    </w:p>
    <w:p w:rsidR="00F65656" w:rsidRPr="00EE21CD" w:rsidRDefault="00F65656" w:rsidP="00F65656">
      <w:pPr>
        <w:spacing w:after="200" w:line="276" w:lineRule="auto"/>
        <w:jc w:val="left"/>
        <w:rPr>
          <w:rFonts w:ascii="Times New Roman" w:hAnsi="Times New Roman" w:cs="Times New Roman"/>
          <w:b/>
          <w:lang w:val="en-US"/>
        </w:rPr>
      </w:pPr>
      <w:r w:rsidRPr="00EE21CD">
        <w:rPr>
          <w:rFonts w:ascii="Times New Roman" w:hAnsi="Times New Roman" w:cs="Times New Roman"/>
          <w:color w:val="000000"/>
          <w:sz w:val="16"/>
          <w:lang w:val="en-US" w:eastAsia="nl-NL"/>
        </w:rPr>
        <w:t xml:space="preserve">Categorical characteristics are denoted as frequencies (proportions). Continuous characteristics are denoted as median (inter quartile range). NA: data not available. </w:t>
      </w:r>
      <w:r w:rsidRPr="00EE21CD">
        <w:rPr>
          <w:rFonts w:ascii="Times New Roman" w:hAnsi="Times New Roman" w:cs="Times New Roman"/>
          <w:b/>
          <w:lang w:val="en-US"/>
        </w:rPr>
        <w:br w:type="page"/>
      </w:r>
    </w:p>
    <w:p w:rsidR="00F65656" w:rsidRPr="00EE21CD" w:rsidRDefault="00F65656" w:rsidP="00F65656">
      <w:pPr>
        <w:rPr>
          <w:rFonts w:ascii="Times New Roman" w:hAnsi="Times New Roman" w:cs="Times New Roman"/>
          <w:b/>
          <w:lang w:val="en-US"/>
        </w:rPr>
      </w:pPr>
      <w:r w:rsidRPr="00EE21CD">
        <w:rPr>
          <w:rFonts w:ascii="Times New Roman" w:hAnsi="Times New Roman" w:cs="Times New Roman"/>
          <w:b/>
          <w:lang w:val="en-US"/>
        </w:rPr>
        <w:lastRenderedPageBreak/>
        <w:t xml:space="preserve">Supplementary figure </w:t>
      </w:r>
      <w:r w:rsidR="00193E6E">
        <w:rPr>
          <w:rFonts w:ascii="Times New Roman" w:hAnsi="Times New Roman" w:cs="Times New Roman"/>
          <w:b/>
          <w:lang w:val="en-US"/>
        </w:rPr>
        <w:t>S</w:t>
      </w:r>
      <w:r w:rsidRPr="00EE21CD">
        <w:rPr>
          <w:rFonts w:ascii="Times New Roman" w:hAnsi="Times New Roman" w:cs="Times New Roman"/>
          <w:b/>
          <w:lang w:val="en-US"/>
        </w:rPr>
        <w:t xml:space="preserve">1. The directed acyclic graph of the association between ADHD/ASD and antibiotics use. </w:t>
      </w:r>
    </w:p>
    <w:p w:rsidR="00F65656" w:rsidRPr="00EE21CD" w:rsidRDefault="00487CE2" w:rsidP="00F65656">
      <w:pPr>
        <w:rPr>
          <w:rFonts w:ascii="Times New Roman" w:hAnsi="Times New Roman" w:cs="Times New Roman"/>
          <w:b/>
          <w:lang w:val="en-US"/>
        </w:rPr>
      </w:pPr>
      <w:r w:rsidRPr="00487CE2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>
            <wp:extent cx="6334125" cy="3950315"/>
            <wp:effectExtent l="0" t="0" r="0" b="0"/>
            <wp:docPr id="2" name="Afbeelding 2" descr="H:\Downloads\dagitty-model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agitty-model 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3" t="5695" r="6116" b="40745"/>
                    <a:stretch/>
                  </pic:blipFill>
                  <pic:spPr bwMode="auto">
                    <a:xfrm>
                      <a:off x="0" y="0"/>
                      <a:ext cx="6339841" cy="39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656" w:rsidRPr="00EE21CD" w:rsidRDefault="00F65656" w:rsidP="00F65656">
      <w:pPr>
        <w:rPr>
          <w:rFonts w:ascii="Times New Roman" w:hAnsi="Times New Roman" w:cs="Times New Roman"/>
          <w:b/>
          <w:lang w:val="en-US"/>
        </w:rPr>
      </w:pPr>
    </w:p>
    <w:p w:rsidR="00487CE2" w:rsidRPr="00EE21CD" w:rsidRDefault="00487CE2">
      <w:pPr>
        <w:rPr>
          <w:rFonts w:ascii="Times New Roman" w:hAnsi="Times New Roman" w:cs="Times New Roman"/>
        </w:rPr>
      </w:pPr>
    </w:p>
    <w:sectPr w:rsidR="00487CE2" w:rsidRPr="00EE21CD" w:rsidSect="00487CE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6"/>
    <w:rsid w:val="00032C08"/>
    <w:rsid w:val="000B1FAB"/>
    <w:rsid w:val="00186248"/>
    <w:rsid w:val="00193E6E"/>
    <w:rsid w:val="002D2B7A"/>
    <w:rsid w:val="00471EB1"/>
    <w:rsid w:val="00487CE2"/>
    <w:rsid w:val="00571641"/>
    <w:rsid w:val="0057425D"/>
    <w:rsid w:val="005C5886"/>
    <w:rsid w:val="006A49A3"/>
    <w:rsid w:val="007B6C7F"/>
    <w:rsid w:val="007C43C1"/>
    <w:rsid w:val="008D6C8D"/>
    <w:rsid w:val="00911718"/>
    <w:rsid w:val="00A559C6"/>
    <w:rsid w:val="00D77037"/>
    <w:rsid w:val="00DC5267"/>
    <w:rsid w:val="00DD0AB3"/>
    <w:rsid w:val="00DF77FB"/>
    <w:rsid w:val="00E62EC8"/>
    <w:rsid w:val="00E950FC"/>
    <w:rsid w:val="00EE21CD"/>
    <w:rsid w:val="00F41789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6"/>
    <w:pPr>
      <w:spacing w:after="0" w:line="480" w:lineRule="auto"/>
      <w:jc w:val="both"/>
    </w:pPr>
    <w:rPr>
      <w:rFonts w:ascii="Arial" w:eastAsia="Times New Roman" w:hAnsi="Arial" w:cs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5656"/>
    <w:pPr>
      <w:spacing w:after="200" w:line="240" w:lineRule="auto"/>
      <w:jc w:val="left"/>
    </w:pPr>
    <w:rPr>
      <w:rFonts w:ascii="Calibri" w:eastAsia="Calibri" w:hAnsi="Calibri" w:cs="Times New Roman"/>
      <w:b/>
      <w:bCs/>
      <w:color w:val="767171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F65656"/>
    <w:pPr>
      <w:spacing w:after="0" w:line="240" w:lineRule="auto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NoSpacingChar">
    <w:name w:val="No Spacing Char"/>
    <w:link w:val="NoSpacing"/>
    <w:uiPriority w:val="1"/>
    <w:rsid w:val="00F65656"/>
    <w:rPr>
      <w:rFonts w:ascii="Arial" w:eastAsia="Times New Roman" w:hAnsi="Arial" w:cs="Arial"/>
      <w:sz w:val="20"/>
      <w:lang w:val="en-GB"/>
    </w:rPr>
  </w:style>
  <w:style w:type="paragraph" w:customStyle="1" w:styleId="xmsonormal">
    <w:name w:val="x_msonormal"/>
    <w:basedOn w:val="Normal"/>
    <w:rsid w:val="00F65656"/>
    <w:pPr>
      <w:spacing w:line="240" w:lineRule="auto"/>
      <w:jc w:val="left"/>
    </w:pPr>
    <w:rPr>
      <w:rFonts w:ascii="Calibri" w:eastAsiaTheme="minorHAnsi" w:hAnsi="Calibri" w:cs="Times New Roman"/>
      <w:sz w:val="22"/>
      <w:lang w:val="nl-NL" w:eastAsia="nl-NL"/>
    </w:rPr>
  </w:style>
  <w:style w:type="paragraph" w:customStyle="1" w:styleId="xmsonospacing">
    <w:name w:val="x_msonospacing"/>
    <w:basedOn w:val="Normal"/>
    <w:rsid w:val="00F65656"/>
    <w:pPr>
      <w:spacing w:line="240" w:lineRule="auto"/>
    </w:pPr>
    <w:rPr>
      <w:rFonts w:eastAsiaTheme="minorHAnsi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6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6"/>
    <w:pPr>
      <w:spacing w:after="0" w:line="480" w:lineRule="auto"/>
      <w:jc w:val="both"/>
    </w:pPr>
    <w:rPr>
      <w:rFonts w:ascii="Arial" w:eastAsia="Times New Roman" w:hAnsi="Arial" w:cs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5656"/>
    <w:pPr>
      <w:spacing w:after="200" w:line="240" w:lineRule="auto"/>
      <w:jc w:val="left"/>
    </w:pPr>
    <w:rPr>
      <w:rFonts w:ascii="Calibri" w:eastAsia="Calibri" w:hAnsi="Calibri" w:cs="Times New Roman"/>
      <w:b/>
      <w:bCs/>
      <w:color w:val="767171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F65656"/>
    <w:pPr>
      <w:spacing w:after="0" w:line="240" w:lineRule="auto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NoSpacingChar">
    <w:name w:val="No Spacing Char"/>
    <w:link w:val="NoSpacing"/>
    <w:uiPriority w:val="1"/>
    <w:rsid w:val="00F65656"/>
    <w:rPr>
      <w:rFonts w:ascii="Arial" w:eastAsia="Times New Roman" w:hAnsi="Arial" w:cs="Arial"/>
      <w:sz w:val="20"/>
      <w:lang w:val="en-GB"/>
    </w:rPr>
  </w:style>
  <w:style w:type="paragraph" w:customStyle="1" w:styleId="xmsonormal">
    <w:name w:val="x_msonormal"/>
    <w:basedOn w:val="Normal"/>
    <w:rsid w:val="00F65656"/>
    <w:pPr>
      <w:spacing w:line="240" w:lineRule="auto"/>
      <w:jc w:val="left"/>
    </w:pPr>
    <w:rPr>
      <w:rFonts w:ascii="Calibri" w:eastAsiaTheme="minorHAnsi" w:hAnsi="Calibri" w:cs="Times New Roman"/>
      <w:sz w:val="22"/>
      <w:lang w:val="nl-NL" w:eastAsia="nl-NL"/>
    </w:rPr>
  </w:style>
  <w:style w:type="paragraph" w:customStyle="1" w:styleId="xmsonospacing">
    <w:name w:val="x_msonospacing"/>
    <w:basedOn w:val="Normal"/>
    <w:rsid w:val="00F65656"/>
    <w:pPr>
      <w:spacing w:line="240" w:lineRule="auto"/>
    </w:pPr>
    <w:rPr>
      <w:rFonts w:eastAsiaTheme="minorHAnsi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6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4472</Words>
  <Characters>25495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Slob, E.M.A. (Elise)</dc:creator>
  <cp:lastModifiedBy>Elsina</cp:lastModifiedBy>
  <cp:revision>3</cp:revision>
  <dcterms:created xsi:type="dcterms:W3CDTF">2020-08-06T03:08:00Z</dcterms:created>
  <dcterms:modified xsi:type="dcterms:W3CDTF">2020-08-06T03:08:00Z</dcterms:modified>
</cp:coreProperties>
</file>